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8DE7" w14:textId="77777777" w:rsidR="003670DF" w:rsidRDefault="003670DF" w:rsidP="008B708B">
      <w:pPr>
        <w:spacing w:after="0" w:line="360" w:lineRule="auto"/>
        <w:jc w:val="center"/>
        <w:rPr>
          <w:rFonts w:ascii="Times New Roman" w:eastAsia="Times New Roman" w:hAnsi="Times New Roman" w:cs="Times New Roman"/>
          <w:b/>
          <w:bCs/>
          <w:sz w:val="36"/>
          <w:szCs w:val="36"/>
          <w:lang w:eastAsia="tr-TR"/>
        </w:rPr>
      </w:pPr>
    </w:p>
    <w:p w14:paraId="4B14824F" w14:textId="096FC992" w:rsidR="008B708B" w:rsidRPr="008B708B" w:rsidRDefault="008B708B" w:rsidP="008B708B">
      <w:pPr>
        <w:spacing w:after="0" w:line="360" w:lineRule="auto"/>
        <w:jc w:val="center"/>
        <w:rPr>
          <w:rFonts w:ascii="Times New Roman" w:eastAsia="Times New Roman" w:hAnsi="Times New Roman" w:cs="Times New Roman"/>
          <w:b/>
          <w:bCs/>
          <w:sz w:val="36"/>
          <w:szCs w:val="36"/>
          <w:lang w:eastAsia="tr-TR"/>
        </w:rPr>
      </w:pPr>
      <w:r w:rsidRPr="008B708B">
        <w:rPr>
          <w:rFonts w:ascii="Times New Roman" w:eastAsia="Times New Roman" w:hAnsi="Times New Roman" w:cs="Times New Roman"/>
          <w:b/>
          <w:bCs/>
          <w:sz w:val="36"/>
          <w:szCs w:val="36"/>
          <w:lang w:eastAsia="tr-TR"/>
        </w:rPr>
        <w:t xml:space="preserve">KARABÜK ÜNİVERSİTESİ </w:t>
      </w:r>
    </w:p>
    <w:p w14:paraId="0F0B1EB3" w14:textId="3FC2694D" w:rsidR="00BE0955" w:rsidRDefault="008B708B" w:rsidP="008B708B">
      <w:pPr>
        <w:spacing w:after="0" w:line="240" w:lineRule="auto"/>
        <w:jc w:val="center"/>
        <w:rPr>
          <w:rFonts w:ascii="Times New Roman" w:eastAsiaTheme="minorEastAsia" w:hAnsi="Times New Roman" w:cs="Times New Roman"/>
          <w:sz w:val="24"/>
          <w:szCs w:val="24"/>
          <w:lang w:eastAsia="tr-TR"/>
        </w:rPr>
      </w:pPr>
      <w:r>
        <w:rPr>
          <w:rFonts w:ascii="Times New Roman" w:eastAsia="Times New Roman" w:hAnsi="Times New Roman" w:cs="Times New Roman"/>
          <w:b/>
          <w:bCs/>
          <w:sz w:val="36"/>
          <w:szCs w:val="36"/>
          <w:lang w:eastAsia="tr-TR"/>
        </w:rPr>
        <w:t>CEZA</w:t>
      </w:r>
      <w:r w:rsidRPr="008B708B">
        <w:rPr>
          <w:rFonts w:ascii="Times New Roman" w:eastAsia="Times New Roman" w:hAnsi="Times New Roman" w:cs="Times New Roman"/>
          <w:b/>
          <w:bCs/>
          <w:sz w:val="36"/>
          <w:szCs w:val="36"/>
          <w:lang w:eastAsia="tr-TR"/>
        </w:rPr>
        <w:t xml:space="preserve"> SORUŞTURMA REHBERİ</w:t>
      </w:r>
    </w:p>
    <w:p w14:paraId="38A571C0" w14:textId="77777777" w:rsidR="00D93BF2" w:rsidRDefault="00D93BF2" w:rsidP="00BE0955">
      <w:pPr>
        <w:spacing w:after="0" w:line="240" w:lineRule="auto"/>
        <w:ind w:firstLine="708"/>
        <w:jc w:val="both"/>
        <w:rPr>
          <w:rFonts w:ascii="Times New Roman" w:eastAsiaTheme="minorEastAsia" w:hAnsi="Times New Roman" w:cs="Times New Roman"/>
          <w:sz w:val="24"/>
          <w:szCs w:val="24"/>
          <w:lang w:eastAsia="tr-TR"/>
        </w:rPr>
      </w:pPr>
    </w:p>
    <w:p w14:paraId="3E09997C" w14:textId="77777777" w:rsidR="00D93BF2" w:rsidRDefault="00D93BF2" w:rsidP="00BE0955">
      <w:pPr>
        <w:spacing w:after="0" w:line="240" w:lineRule="auto"/>
        <w:ind w:firstLine="708"/>
        <w:jc w:val="both"/>
        <w:rPr>
          <w:rFonts w:ascii="Times New Roman" w:eastAsiaTheme="minorEastAsia" w:hAnsi="Times New Roman" w:cs="Times New Roman"/>
          <w:sz w:val="24"/>
          <w:szCs w:val="24"/>
          <w:lang w:eastAsia="tr-TR"/>
        </w:rPr>
      </w:pPr>
    </w:p>
    <w:p w14:paraId="1151EF82" w14:textId="77777777" w:rsidR="00D93BF2" w:rsidRDefault="00D93BF2" w:rsidP="00D93BF2">
      <w:pPr>
        <w:spacing w:after="0" w:line="240" w:lineRule="auto"/>
        <w:ind w:firstLine="708"/>
        <w:jc w:val="both"/>
        <w:rPr>
          <w:rFonts w:ascii="Times New Roman" w:eastAsiaTheme="minorEastAsia" w:hAnsi="Times New Roman" w:cs="Times New Roman"/>
          <w:sz w:val="24"/>
          <w:szCs w:val="24"/>
          <w:lang w:eastAsia="tr-TR"/>
        </w:rPr>
      </w:pPr>
      <w:r w:rsidRPr="00D93BF2">
        <w:rPr>
          <w:rFonts w:ascii="Times New Roman" w:eastAsiaTheme="minorEastAsia" w:hAnsi="Times New Roman" w:cs="Times New Roman"/>
          <w:sz w:val="24"/>
          <w:szCs w:val="24"/>
          <w:lang w:eastAsia="tr-TR"/>
        </w:rPr>
        <w:t xml:space="preserve">2547 sayılı Yükseköğretim Kanunu’nun 53. Maddesi (c) fıkrası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nedeniyle haklarında yetkili makamlarca inceleme başlatılabilir. Bu nedenle, Savcılıklarca görevsizlik kararı verilerek gereği yapılmak üzere dosya yükseköğretim kurumlarına gönderilmektedir. </w:t>
      </w:r>
    </w:p>
    <w:p w14:paraId="0F5E1051" w14:textId="77777777" w:rsidR="00D93BF2" w:rsidRPr="00D93BF2" w:rsidRDefault="00D93BF2" w:rsidP="00D93BF2">
      <w:pPr>
        <w:spacing w:after="0" w:line="240" w:lineRule="auto"/>
        <w:ind w:firstLine="708"/>
        <w:jc w:val="both"/>
        <w:rPr>
          <w:rFonts w:ascii="Times New Roman" w:eastAsiaTheme="minorEastAsia" w:hAnsi="Times New Roman" w:cs="Times New Roman"/>
          <w:sz w:val="24"/>
          <w:szCs w:val="24"/>
          <w:lang w:eastAsia="tr-TR"/>
        </w:rPr>
      </w:pPr>
    </w:p>
    <w:p w14:paraId="26A4AED9" w14:textId="77777777" w:rsidR="00D93BF2" w:rsidRDefault="00D93BF2" w:rsidP="00D93BF2">
      <w:pPr>
        <w:spacing w:after="0" w:line="240" w:lineRule="auto"/>
        <w:ind w:firstLine="708"/>
        <w:jc w:val="both"/>
        <w:rPr>
          <w:rFonts w:ascii="Times New Roman" w:eastAsiaTheme="minorEastAsia" w:hAnsi="Times New Roman" w:cs="Times New Roman"/>
          <w:sz w:val="24"/>
          <w:szCs w:val="24"/>
          <w:lang w:eastAsia="tr-TR"/>
        </w:rPr>
      </w:pPr>
      <w:r w:rsidRPr="00D93BF2">
        <w:rPr>
          <w:rFonts w:ascii="Times New Roman" w:eastAsiaTheme="minorEastAsia" w:hAnsi="Times New Roman" w:cs="Times New Roman"/>
          <w:sz w:val="24"/>
          <w:szCs w:val="24"/>
          <w:lang w:eastAsia="tr-TR"/>
        </w:rPr>
        <w:t xml:space="preserve">Yukarıda sayılan personelin görevleri dolayısıyla ya da görevlerini yaptıkları sırada işledikleri ileri sürülen suçlar hakkında 2547 sayılı Yükseköğretim Kanunu’nun 53/c maddesinde düzenlenen hükümlere göre ceza soruşturması yapılarak haklarında son soruşturmanın açılıp açılmamasına (şüphelinin görev unvanına göre) anılan Kanun maddesinde düzenlenmiş olan kurullarca karar verilir. </w:t>
      </w:r>
    </w:p>
    <w:p w14:paraId="16D46FE2" w14:textId="77777777" w:rsidR="00D93BF2" w:rsidRPr="00D93BF2" w:rsidRDefault="00D93BF2" w:rsidP="00D93BF2">
      <w:pPr>
        <w:spacing w:after="0" w:line="240" w:lineRule="auto"/>
        <w:ind w:firstLine="708"/>
        <w:jc w:val="both"/>
        <w:rPr>
          <w:rFonts w:ascii="Times New Roman" w:eastAsiaTheme="minorEastAsia" w:hAnsi="Times New Roman" w:cs="Times New Roman"/>
          <w:sz w:val="24"/>
          <w:szCs w:val="24"/>
          <w:lang w:eastAsia="tr-TR"/>
        </w:rPr>
      </w:pPr>
    </w:p>
    <w:p w14:paraId="6ED4FBA7" w14:textId="77777777" w:rsidR="00D93BF2" w:rsidRPr="00D93BF2" w:rsidRDefault="00D93BF2" w:rsidP="00D93BF2">
      <w:pPr>
        <w:spacing w:after="0" w:line="240" w:lineRule="auto"/>
        <w:ind w:firstLine="708"/>
        <w:jc w:val="both"/>
        <w:rPr>
          <w:rFonts w:ascii="Times New Roman" w:eastAsiaTheme="minorEastAsia" w:hAnsi="Times New Roman" w:cs="Times New Roman"/>
          <w:b/>
          <w:sz w:val="24"/>
          <w:szCs w:val="24"/>
          <w:lang w:eastAsia="tr-TR"/>
        </w:rPr>
      </w:pPr>
      <w:r w:rsidRPr="00D93BF2">
        <w:rPr>
          <w:rFonts w:ascii="Times New Roman" w:eastAsiaTheme="minorEastAsia" w:hAnsi="Times New Roman" w:cs="Times New Roman"/>
          <w:sz w:val="24"/>
          <w:szCs w:val="24"/>
          <w:lang w:eastAsia="tr-TR"/>
        </w:rPr>
        <w:t xml:space="preserve">02.12.2016 tarihli ve 6764 sayılı Kanunun 26. Maddesi ile 2547 sayılı kanunun 53. Maddesi (c)  fıkrası birinci paragrafında yer alan “ileri sürülen suçlar hakkında” ibaresi “ ileri sürülen suçlar hakkında yetkili makamlarca inceleme başlatılabilir, inceleme sonucunda soruşturma açılmasına karar verilmesi ya da doğrudan soruşturma başlatılması halinde” şeklinde değiştirilmiş olup; </w:t>
      </w:r>
      <w:r w:rsidRPr="00D93BF2">
        <w:rPr>
          <w:rFonts w:ascii="Times New Roman" w:eastAsiaTheme="minorEastAsia" w:hAnsi="Times New Roman" w:cs="Times New Roman"/>
          <w:b/>
          <w:sz w:val="24"/>
          <w:szCs w:val="24"/>
          <w:lang w:eastAsia="tr-TR"/>
        </w:rPr>
        <w:t>yukarıda sayılan personelin görevleri dolayısıyla ya da görevlerini yaptıkları sırada işledikleri ileri sürülen suçlar hakkında yetkili makamlar tarafından doğrudan ceza soruşturması açılabilir ya da inceleme yapılarak inceleme sonucunda soruşturma açılmasına karar verilebilir.</w:t>
      </w:r>
    </w:p>
    <w:p w14:paraId="7BC72B9A" w14:textId="77777777" w:rsidR="00D93BF2" w:rsidRDefault="00D93BF2" w:rsidP="00BE0955">
      <w:pPr>
        <w:spacing w:after="0" w:line="240" w:lineRule="auto"/>
        <w:ind w:firstLine="708"/>
        <w:jc w:val="both"/>
        <w:rPr>
          <w:rFonts w:ascii="Times New Roman" w:eastAsiaTheme="minorEastAsia" w:hAnsi="Times New Roman" w:cs="Times New Roman"/>
          <w:sz w:val="24"/>
          <w:szCs w:val="24"/>
          <w:lang w:eastAsia="tr-TR"/>
        </w:rPr>
      </w:pPr>
    </w:p>
    <w:p w14:paraId="22E0AF8E" w14:textId="77777777" w:rsidR="00E335A9" w:rsidRDefault="00E335A9"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r w:rsidRPr="00E335A9">
        <w:rPr>
          <w:rFonts w:ascii="Times New Roman" w:hAnsi="Times New Roman" w:cs="Times New Roman"/>
          <w:color w:val="000000"/>
          <w:sz w:val="24"/>
          <w:szCs w:val="24"/>
        </w:rPr>
        <w:t xml:space="preserve">Ayrıca Yükseköğretim Kurulu Başkanı ve rektörler hakkında 19/4/1990 tarihli ve 3628 sayılı Mal Bildiriminde Bulunulması, Rüşvet ve Yolsuzluklarla Mücadele Kanunu kapsamına giren suçlarından dolayı yapılacak ceza soruşturmasında yine yukarıda belirtilen ceza kovuşturması usulü tatbik edilir. 3628 sayılı Kanun kapsamına giren suçlarından dolayı kanuni kovuşturma için gereken izin, Yükseköğretim Kurulu üyeleri ile Yükseköğretim Denetleme Kurulu Başkan ve üyeleri ve bu kuruluşların memurları (Üniversitelerarası Kurul memurları dahil) hakkında Yükseköğretim Kurulu Başkanından, üniversite yöneticileri ve öğretim elemanları ile memurlar hakkında üniversite rektörlerinden alınır. </w:t>
      </w:r>
    </w:p>
    <w:p w14:paraId="20BB90C3" w14:textId="77777777" w:rsidR="0017375F" w:rsidRDefault="0017375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56AD48D4" w14:textId="7E14A2AB" w:rsidR="0017375F" w:rsidRDefault="0017375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78B16C75" w14:textId="499ACBE6" w:rsidR="003670DF" w:rsidRDefault="003670D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528D1916" w14:textId="0A08355D" w:rsidR="003670DF" w:rsidRDefault="003670D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77F3F87D" w14:textId="6590CD17" w:rsidR="003670DF" w:rsidRDefault="003670D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7F18EAF4" w14:textId="79FA9FA7" w:rsidR="003670DF" w:rsidRDefault="003670D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1ECBC42E" w14:textId="0A31CB97" w:rsidR="003670DF" w:rsidRDefault="003670D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335C2025" w14:textId="7049FF6F" w:rsidR="003670DF" w:rsidRDefault="003670D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61D936EA" w14:textId="651C96EE" w:rsidR="003670DF" w:rsidRDefault="003670D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14D72632" w14:textId="1CE0F7B3" w:rsidR="003670DF" w:rsidRDefault="003670D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7D8B55F4" w14:textId="77777777" w:rsidR="003670DF" w:rsidRDefault="003670DF" w:rsidP="00E335A9">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50CFCB80" w14:textId="77777777" w:rsidR="0017375F" w:rsidRPr="0017375F" w:rsidRDefault="0017375F" w:rsidP="0017375F">
      <w:pPr>
        <w:numPr>
          <w:ilvl w:val="0"/>
          <w:numId w:val="9"/>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lastRenderedPageBreak/>
        <w:t>SORUŞTURMAYA YETKİLİ AMİRLER ve ONAY</w:t>
      </w:r>
    </w:p>
    <w:p w14:paraId="4EBEC936" w14:textId="77777777" w:rsidR="0017375F" w:rsidRPr="0017375F" w:rsidRDefault="0017375F" w:rsidP="0017375F">
      <w:pPr>
        <w:spacing w:after="0" w:line="240" w:lineRule="auto"/>
        <w:ind w:left="720"/>
        <w:contextualSpacing/>
        <w:jc w:val="both"/>
        <w:rPr>
          <w:rFonts w:ascii="Times New Roman" w:eastAsiaTheme="minorEastAsia" w:hAnsi="Times New Roman" w:cs="Times New Roman"/>
          <w:sz w:val="24"/>
          <w:szCs w:val="24"/>
          <w:lang w:eastAsia="tr-TR"/>
        </w:rPr>
      </w:pPr>
    </w:p>
    <w:p w14:paraId="083A030C" w14:textId="77777777" w:rsidR="0017375F" w:rsidRPr="0017375F" w:rsidRDefault="0017375F" w:rsidP="0017375F">
      <w:pPr>
        <w:spacing w:after="0" w:line="240" w:lineRule="auto"/>
        <w:contextualSpacing/>
        <w:jc w:val="both"/>
        <w:rPr>
          <w:rFonts w:ascii="Times New Roman" w:eastAsiaTheme="minorEastAsia" w:hAnsi="Times New Roman" w:cs="Times New Roman"/>
          <w:b/>
          <w:sz w:val="24"/>
          <w:szCs w:val="24"/>
          <w:lang w:eastAsia="tr-TR"/>
        </w:rPr>
      </w:pPr>
      <w:r w:rsidRPr="0017375F">
        <w:rPr>
          <w:rFonts w:ascii="Times New Roman" w:eastAsiaTheme="minorEastAsia" w:hAnsi="Times New Roman" w:cs="Times New Roman"/>
          <w:sz w:val="24"/>
          <w:szCs w:val="24"/>
          <w:lang w:eastAsia="tr-TR"/>
        </w:rPr>
        <w:t xml:space="preserve">              </w:t>
      </w:r>
      <w:r w:rsidRPr="0017375F">
        <w:rPr>
          <w:rFonts w:ascii="Times New Roman" w:eastAsiaTheme="minorEastAsia" w:hAnsi="Times New Roman" w:cs="Times New Roman"/>
          <w:b/>
          <w:sz w:val="24"/>
          <w:szCs w:val="24"/>
          <w:lang w:eastAsia="tr-TR"/>
        </w:rPr>
        <w:t>2547 sayılı Kanun’un 53/c-1. maddesindeki düzenlemeye göre, soruşturma açmaya yetkili amir, Yükseköğretim Kurulu Başkanı veya diğer disiplin amirleridir.</w:t>
      </w:r>
    </w:p>
    <w:p w14:paraId="3493A273" w14:textId="77777777" w:rsidR="0017375F" w:rsidRPr="0017375F" w:rsidRDefault="0017375F" w:rsidP="0017375F">
      <w:p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Soruşturmaya yetkili makam, Yükseköğretim kurumunda çalışan personelin, görevi sırasında veya görevinden doğan bir suç işlediğini, ihbar, şikayet, basın yayın yolu ile veya doğrudan doğruya suça şahit olarak öğrenmesi durumunda, personel hakkında inceleme ve/veya ceza soruşturması başlatır. </w:t>
      </w:r>
    </w:p>
    <w:p w14:paraId="1ECBED5F" w14:textId="77777777" w:rsidR="0017375F" w:rsidRPr="0017375F" w:rsidRDefault="0017375F" w:rsidP="0017375F">
      <w:p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Yetkili amir soruşturmayı doğrudan veya görevlendireceği uygun sayıda soruşturmacı vasıtası ile yaptırır. </w:t>
      </w:r>
    </w:p>
    <w:p w14:paraId="105E15F4" w14:textId="77777777" w:rsidR="0017375F" w:rsidRPr="0017375F" w:rsidRDefault="0017375F" w:rsidP="0017375F">
      <w:p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İnceleme veya soruşturma; yetkili makam tarafından imzalanacak soruşturma onayı ile başlatılır. Onayda, isnat edilen suç ile kimin hakkında soruşturma açıldığı ismen ifade edilmeli, fail bilinmiyorsa inceleme için alınan onayda soruşturmacıdan varsa failin belirlenmesi istenmeli ve soruşturma konusu fiilin nelerden ibaret olduğu açıkça belirtilmelidir. </w:t>
      </w:r>
    </w:p>
    <w:p w14:paraId="047CED36" w14:textId="77777777" w:rsidR="0017375F" w:rsidRPr="0017375F" w:rsidRDefault="0017375F" w:rsidP="0017375F">
      <w:p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Soruşturmacının görev ve derecesi ya da akademik unvanı, soruşturması yapılan personelin görev ve derecesinden ya da akademik unvanından daha yüksek ya da aynı düzeyde olmalıdır. Değişik statüdeki personelin birlikte suç işlemesi halinde ast, üst hakkındaki soruşturma usulüne tabidir. </w:t>
      </w:r>
    </w:p>
    <w:p w14:paraId="47A4F39A" w14:textId="77777777" w:rsidR="0017375F" w:rsidRPr="0017375F" w:rsidRDefault="0017375F" w:rsidP="0017375F">
      <w:pPr>
        <w:spacing w:after="0" w:line="240" w:lineRule="auto"/>
        <w:jc w:val="both"/>
        <w:rPr>
          <w:rFonts w:ascii="Times New Roman" w:eastAsiaTheme="minorEastAsia" w:hAnsi="Times New Roman" w:cs="Times New Roman"/>
          <w:sz w:val="24"/>
          <w:szCs w:val="24"/>
          <w:lang w:eastAsia="tr-TR"/>
        </w:rPr>
      </w:pPr>
    </w:p>
    <w:p w14:paraId="1E22439F" w14:textId="77777777" w:rsidR="0017375F" w:rsidRPr="0017375F" w:rsidRDefault="0017375F" w:rsidP="0017375F">
      <w:pPr>
        <w:numPr>
          <w:ilvl w:val="0"/>
          <w:numId w:val="9"/>
        </w:numPr>
        <w:tabs>
          <w:tab w:val="left" w:pos="851"/>
        </w:tabs>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t>SORUŞTURMA İŞLEMLERİ</w:t>
      </w:r>
    </w:p>
    <w:p w14:paraId="2388FB16" w14:textId="77777777" w:rsidR="0017375F" w:rsidRPr="0017375F" w:rsidRDefault="0017375F" w:rsidP="0017375F">
      <w:pPr>
        <w:spacing w:after="0" w:line="240" w:lineRule="auto"/>
        <w:contextualSpacing/>
        <w:jc w:val="both"/>
        <w:rPr>
          <w:rFonts w:ascii="Times New Roman" w:eastAsiaTheme="minorEastAsia" w:hAnsi="Times New Roman" w:cs="Times New Roman"/>
          <w:b/>
          <w:sz w:val="24"/>
          <w:szCs w:val="24"/>
          <w:lang w:eastAsia="tr-TR"/>
        </w:rPr>
      </w:pPr>
      <w:r w:rsidRPr="0017375F">
        <w:rPr>
          <w:rFonts w:ascii="Times New Roman" w:eastAsiaTheme="minorEastAsia" w:hAnsi="Times New Roman" w:cs="Times New Roman"/>
          <w:b/>
          <w:sz w:val="24"/>
          <w:szCs w:val="24"/>
          <w:lang w:eastAsia="tr-TR"/>
        </w:rPr>
        <w:t xml:space="preserve">               </w:t>
      </w:r>
    </w:p>
    <w:p w14:paraId="59154A0A" w14:textId="77777777" w:rsidR="0017375F" w:rsidRPr="0017375F" w:rsidRDefault="0017375F" w:rsidP="0017375F">
      <w:pPr>
        <w:tabs>
          <w:tab w:val="left" w:pos="567"/>
        </w:tabs>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t xml:space="preserve">         </w:t>
      </w:r>
      <w:r w:rsidRPr="0017375F">
        <w:rPr>
          <w:rFonts w:ascii="Times New Roman" w:eastAsiaTheme="minorEastAsia" w:hAnsi="Times New Roman" w:cs="Times New Roman"/>
          <w:sz w:val="24"/>
          <w:szCs w:val="24"/>
          <w:lang w:eastAsia="tr-TR"/>
        </w:rPr>
        <w:t xml:space="preserve">Soruşturma onayı ile görevlendirilen soruşturmacı, soruşturma emrini incelemek suretiyle hangi konu ve konularda, kim veya kimler hakkında soruşturma yapılması istendiğini tespit eder. Soruşturma onayı ekinde yer alan şikayet dilekçeleri, ihbar yazıları ve varsa diğer kayıt ve belgeler dikkatle incelenerek iddialarla ilgili gerekli bilgi ve belgeleri ilgili makam ve kişilerden temin ederek dosyada toplar. Gerekli gördüğü takdirde keşif yapar, bilirkişi incelenmesi isteyebilir ve ihtiyaç duyduğu tüm delilleri toplayabilir. Disiplin ve ceza soruşturmasının birlikte yürütülmesi halinde her iki soruşturmaya ilişkin usullere de uyulur. </w:t>
      </w:r>
    </w:p>
    <w:p w14:paraId="20C653AD" w14:textId="77777777" w:rsidR="0017375F" w:rsidRPr="0017375F" w:rsidRDefault="0017375F" w:rsidP="0017375F">
      <w:pPr>
        <w:tabs>
          <w:tab w:val="left" w:pos="567"/>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Soruşturmacının görevleri aşağıdaki gibidir: </w:t>
      </w:r>
    </w:p>
    <w:p w14:paraId="7384D8DB" w14:textId="77777777" w:rsidR="0017375F" w:rsidRPr="0017375F" w:rsidRDefault="0017375F" w:rsidP="0017375F">
      <w:pPr>
        <w:tabs>
          <w:tab w:val="left" w:pos="567"/>
        </w:tabs>
        <w:spacing w:after="0" w:line="240" w:lineRule="auto"/>
        <w:jc w:val="both"/>
        <w:rPr>
          <w:rFonts w:ascii="Times New Roman" w:eastAsiaTheme="minorEastAsia" w:hAnsi="Times New Roman" w:cs="Times New Roman"/>
          <w:sz w:val="24"/>
          <w:szCs w:val="24"/>
          <w:lang w:eastAsia="tr-TR"/>
        </w:rPr>
      </w:pPr>
    </w:p>
    <w:p w14:paraId="4A802E90" w14:textId="77777777" w:rsidR="0017375F" w:rsidRDefault="0017375F" w:rsidP="0017375F">
      <w:pPr>
        <w:numPr>
          <w:ilvl w:val="0"/>
          <w:numId w:val="10"/>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t>Müştekinin İfadeye Çağırılması ve İfadesinin Alınması:</w:t>
      </w:r>
      <w:r w:rsidRPr="0017375F">
        <w:rPr>
          <w:rFonts w:ascii="Times New Roman" w:eastAsiaTheme="minorEastAsia" w:hAnsi="Times New Roman" w:cs="Times New Roman"/>
          <w:sz w:val="24"/>
          <w:szCs w:val="24"/>
          <w:lang w:eastAsia="tr-TR"/>
        </w:rPr>
        <w:t xml:space="preserve"> </w:t>
      </w:r>
    </w:p>
    <w:p w14:paraId="32871E75" w14:textId="77777777" w:rsidR="0017375F" w:rsidRPr="0017375F" w:rsidRDefault="0017375F" w:rsidP="0017375F">
      <w:pPr>
        <w:spacing w:after="0" w:line="240" w:lineRule="auto"/>
        <w:ind w:left="420"/>
        <w:contextualSpacing/>
        <w:jc w:val="both"/>
        <w:rPr>
          <w:rFonts w:ascii="Times New Roman" w:eastAsiaTheme="minorEastAsia" w:hAnsi="Times New Roman" w:cs="Times New Roman"/>
          <w:sz w:val="24"/>
          <w:szCs w:val="24"/>
          <w:lang w:eastAsia="tr-TR"/>
        </w:rPr>
      </w:pPr>
    </w:p>
    <w:p w14:paraId="04A847AC" w14:textId="77777777" w:rsidR="0017375F" w:rsidRDefault="0017375F" w:rsidP="0017375F">
      <w:pPr>
        <w:tabs>
          <w:tab w:val="left" w:pos="567"/>
        </w:tabs>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Müşteki, soruşturmaya konu olayı içeren davet yazısı ile önceden belirlenmiş gün, saat ve yerde ifade vermek üzere davet edilir. Davet yazısı müştekiye iadeli taahhütlü mektupla ya da elden tebliğ edilir ve tebliğe ilişkin belge soruşturma dosyasına konulur. Müştekiye varsa şikayet dilekçesindeki imzanın kendisine ait olup olmadığı sorularak, ifadesinin alınmasına başlanır.  Müştekinin ifadesi, soruşturmacı ve yeminli zabıt katibi eşliğinde kimlik bilgileri ile tüm şikayetleri dinlenerek zapta geçirilir. Hazırlanan tutanağın altı soruşturmacı, müşteki ve zabıt katibince imzalanır. İki nüsha olarak hazırlanmış olan tutanağın bir örneği talebi halinde müştekiye verilir ve soruşturmacıda kalan nüshası üzerine, diğer nüshayı elden aldığına ilişkin imzası alınır. </w:t>
      </w:r>
    </w:p>
    <w:p w14:paraId="46D24ACE" w14:textId="77777777" w:rsidR="0017375F" w:rsidRPr="0017375F" w:rsidRDefault="0017375F" w:rsidP="0017375F">
      <w:pPr>
        <w:tabs>
          <w:tab w:val="left" w:pos="567"/>
        </w:tabs>
        <w:spacing w:after="0" w:line="240" w:lineRule="auto"/>
        <w:contextualSpacing/>
        <w:jc w:val="both"/>
        <w:rPr>
          <w:rFonts w:ascii="Times New Roman" w:eastAsiaTheme="minorEastAsia" w:hAnsi="Times New Roman" w:cs="Times New Roman"/>
          <w:sz w:val="24"/>
          <w:szCs w:val="24"/>
          <w:lang w:eastAsia="tr-TR"/>
        </w:rPr>
      </w:pPr>
    </w:p>
    <w:p w14:paraId="0C8C98F4" w14:textId="77777777" w:rsidR="0017375F" w:rsidRDefault="0017375F" w:rsidP="0017375F">
      <w:p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Müştekinin ifadesi, mümkün ise şüpheli ve tanıkların ifadesinden önce alınır. </w:t>
      </w:r>
      <w:r w:rsidRPr="00D61866">
        <w:rPr>
          <w:rFonts w:ascii="Times New Roman" w:eastAsiaTheme="minorEastAsia" w:hAnsi="Times New Roman" w:cs="Times New Roman"/>
          <w:color w:val="FF0000"/>
          <w:sz w:val="24"/>
          <w:szCs w:val="24"/>
          <w:lang w:eastAsia="tr-TR"/>
        </w:rPr>
        <w:t>İfadesi alınırken müştekiye yemin teklif edilmez.</w:t>
      </w:r>
      <w:r w:rsidRPr="0017375F">
        <w:rPr>
          <w:rFonts w:ascii="Times New Roman" w:eastAsiaTheme="minorEastAsia" w:hAnsi="Times New Roman" w:cs="Times New Roman"/>
          <w:sz w:val="24"/>
          <w:szCs w:val="24"/>
          <w:lang w:eastAsia="tr-TR"/>
        </w:rPr>
        <w:t xml:space="preserve"> Müşteki dilerse ifadesini yazılı olarak sunabilir ancak huzurda veya istinabe suretiyle kimlik tespiti yapılmalı, tutanağa ifadesini yazılı vermek istediği hususu yazılarak, belli bir süre verilmeli, tutanakta bu süreyi müştekinin de onayladığı belirtilerek tutanak altına alınmalıdır.</w:t>
      </w:r>
    </w:p>
    <w:p w14:paraId="08D4937F" w14:textId="77777777" w:rsidR="0017375F" w:rsidRDefault="0017375F" w:rsidP="0017375F">
      <w:pPr>
        <w:spacing w:after="0" w:line="240" w:lineRule="auto"/>
        <w:contextualSpacing/>
        <w:jc w:val="both"/>
        <w:rPr>
          <w:rFonts w:ascii="Times New Roman" w:eastAsiaTheme="minorEastAsia" w:hAnsi="Times New Roman" w:cs="Times New Roman"/>
          <w:sz w:val="24"/>
          <w:szCs w:val="24"/>
          <w:lang w:eastAsia="tr-TR"/>
        </w:rPr>
      </w:pPr>
    </w:p>
    <w:p w14:paraId="5E2B3438" w14:textId="77777777" w:rsidR="0017375F" w:rsidRDefault="0017375F" w:rsidP="0017375F">
      <w:pPr>
        <w:autoSpaceDE w:val="0"/>
        <w:autoSpaceDN w:val="0"/>
        <w:adjustRightInd w:val="0"/>
        <w:spacing w:after="0" w:line="240" w:lineRule="auto"/>
        <w:ind w:firstLine="360"/>
        <w:jc w:val="both"/>
        <w:rPr>
          <w:rFonts w:ascii="Times New Roman" w:hAnsi="Times New Roman" w:cs="Times New Roman"/>
          <w:color w:val="000000"/>
          <w:sz w:val="24"/>
          <w:szCs w:val="24"/>
        </w:rPr>
      </w:pPr>
      <w:r w:rsidRPr="00E335A9">
        <w:rPr>
          <w:rFonts w:ascii="Times New Roman" w:hAnsi="Times New Roman" w:cs="Times New Roman"/>
          <w:color w:val="000000"/>
          <w:sz w:val="24"/>
          <w:szCs w:val="24"/>
        </w:rPr>
        <w:lastRenderedPageBreak/>
        <w:t xml:space="preserve">Müşteki dilerse ifadesini yazılı olarak sunabilir ancak huzurda veya istinabe suretiyle kimlik tespiti yapılmalı, tutanağa ifadesini yazılı vermek istediği hususu yazılarak, belli bir süre verilmeli, tutanakta bu süreyi müştekinin de onayladığı belirtilmelidir. </w:t>
      </w:r>
    </w:p>
    <w:p w14:paraId="3A7F3451" w14:textId="77777777" w:rsidR="0017375F" w:rsidRDefault="0017375F" w:rsidP="0017375F">
      <w:pPr>
        <w:spacing w:after="0" w:line="240" w:lineRule="auto"/>
        <w:contextualSpacing/>
        <w:jc w:val="both"/>
        <w:rPr>
          <w:rFonts w:ascii="Times New Roman" w:eastAsiaTheme="minorEastAsia" w:hAnsi="Times New Roman" w:cs="Times New Roman"/>
          <w:sz w:val="24"/>
          <w:szCs w:val="24"/>
          <w:lang w:eastAsia="tr-TR"/>
        </w:rPr>
      </w:pPr>
    </w:p>
    <w:p w14:paraId="3D06D773" w14:textId="77777777" w:rsidR="0017375F" w:rsidRPr="0017375F" w:rsidRDefault="0017375F" w:rsidP="0017375F">
      <w:pPr>
        <w:numPr>
          <w:ilvl w:val="0"/>
          <w:numId w:val="10"/>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t>Şüphelilerin İfadeye Çağırılması ve İfadesinin Alınması:</w:t>
      </w:r>
    </w:p>
    <w:p w14:paraId="4A843051" w14:textId="77777777" w:rsidR="0017375F" w:rsidRPr="0017375F" w:rsidRDefault="0017375F" w:rsidP="0017375F">
      <w:pPr>
        <w:tabs>
          <w:tab w:val="left" w:pos="567"/>
        </w:tabs>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Şüpheli, soruşturmaya konu olayı ve dolayısıyla ne ile suçlandığını tam olarak görebileceği şekilde hazırlanmış davet yazısı ile önceden belirlenmiş gün, saat ve yerde olaya ilişkin savunmasını yapmak üzere davet edilir. Davet yazısı şüpheliye iadeli taahhütlü mektupla ya da elden tebliğ ettirilir ve tebliğe ilişkin belge soruşturma dosyası kapsamına alınır. Şüpheliye, talep etmesi halinde savunmasını hazırlayabilmesi amacıyla makul bir süre verilir. </w:t>
      </w:r>
    </w:p>
    <w:p w14:paraId="4C3E6F96"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Disiplin ve ceza soruşturmasının birlikte yürütülmesi halinde disiplin soruşturmalarındaki usule de uyulması zorunludur. </w:t>
      </w:r>
    </w:p>
    <w:p w14:paraId="124BB75E"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Sürelerin hesabında davet yazısının tebliğ edildiği gün hesaba katılmaz. Şüphelinin, soruşturmacı ve yeminli zabıt katibi eşliğinde kimlik bilgileri ile tüm savunmaları dinlenerek zapta geçirilir. Hazırlanan tutanak soruşturmacı, şüpheli, varsa avukatı ve zabıt katibince imzalanır. Şüpheli dilerse ifadesini yazılı olarak sunabilir ancak huzurda veya istinabe suretiyle kimlik tespiti yapılmalı, tutanağa şüphelinin savunmasını yazılı olarak vermek istediği hususu yazılarak, savunması için belli bir süre verilmeli, tutanakta bu süreyi şüphelinin de onayladığı belirtilmelidir. İki nüsha olarak hazırlanmış olan tutanağın bir örneği talebi halinde şüpheliye verilir ve soruşturmacıda kalan nüshası üzerine, diğer nüshayı elden aldığına ilişkin imzası alınır.    </w:t>
      </w:r>
      <w:r w:rsidRPr="00D61866">
        <w:rPr>
          <w:rFonts w:ascii="Times New Roman" w:eastAsiaTheme="minorEastAsia" w:hAnsi="Times New Roman" w:cs="Times New Roman"/>
          <w:color w:val="FF0000"/>
          <w:sz w:val="24"/>
          <w:szCs w:val="24"/>
          <w:lang w:eastAsia="tr-TR"/>
        </w:rPr>
        <w:t>Savunmasının alınması öncesinde veya sonrasında şüpheliye, doğru söylediğine ilişkin kesinlikle yemin teklif edilmez.</w:t>
      </w:r>
      <w:r w:rsidRPr="0017375F">
        <w:rPr>
          <w:rFonts w:ascii="Times New Roman" w:eastAsiaTheme="minorEastAsia" w:hAnsi="Times New Roman" w:cs="Times New Roman"/>
          <w:sz w:val="24"/>
          <w:szCs w:val="24"/>
          <w:lang w:eastAsia="tr-TR"/>
        </w:rPr>
        <w:t xml:space="preserve"> </w:t>
      </w:r>
    </w:p>
    <w:p w14:paraId="7DC65DDF"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p>
    <w:p w14:paraId="3E0C3437" w14:textId="77777777" w:rsidR="0017375F" w:rsidRDefault="0017375F" w:rsidP="0017375F">
      <w:pPr>
        <w:numPr>
          <w:ilvl w:val="0"/>
          <w:numId w:val="10"/>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t>Tanıkların İfadeye Çağırılması ve İfadesinin Alınması:</w:t>
      </w:r>
      <w:r w:rsidRPr="0017375F">
        <w:rPr>
          <w:rFonts w:ascii="Times New Roman" w:eastAsiaTheme="minorEastAsia" w:hAnsi="Times New Roman" w:cs="Times New Roman"/>
          <w:sz w:val="24"/>
          <w:szCs w:val="24"/>
          <w:lang w:eastAsia="tr-TR"/>
        </w:rPr>
        <w:t xml:space="preserve"> </w:t>
      </w:r>
    </w:p>
    <w:p w14:paraId="753BF3B9" w14:textId="77777777" w:rsidR="0017375F" w:rsidRPr="0017375F" w:rsidRDefault="0017375F" w:rsidP="0017375F">
      <w:pPr>
        <w:spacing w:after="0" w:line="240" w:lineRule="auto"/>
        <w:ind w:left="420"/>
        <w:contextualSpacing/>
        <w:jc w:val="both"/>
        <w:rPr>
          <w:rFonts w:ascii="Times New Roman" w:eastAsiaTheme="minorEastAsia" w:hAnsi="Times New Roman" w:cs="Times New Roman"/>
          <w:sz w:val="24"/>
          <w:szCs w:val="24"/>
          <w:lang w:eastAsia="tr-TR"/>
        </w:rPr>
      </w:pPr>
    </w:p>
    <w:p w14:paraId="180206EE"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Tanık, soruşturmaya konu olayı içeren davet yazısı ile önceden belirlenmiş gün, saat ve yerde olaya ilişkin bilgi vermek üzere davet edilir. Davet yazısı tanığa iadeli taahhütlü mektupla ya da elden tebliğ ettirilerek tebliğe ilişkin belge soruşturma dosyasına eklenir. </w:t>
      </w:r>
    </w:p>
    <w:p w14:paraId="20D0A2B8"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Tanığın kimlik bilgileri zapta geçirildikten sonra, </w:t>
      </w:r>
      <w:r w:rsidRPr="00D61866">
        <w:rPr>
          <w:rFonts w:ascii="Times New Roman" w:eastAsiaTheme="minorEastAsia" w:hAnsi="Times New Roman" w:cs="Times New Roman"/>
          <w:color w:val="FF0000"/>
          <w:sz w:val="24"/>
          <w:szCs w:val="24"/>
          <w:lang w:eastAsia="tr-TR"/>
        </w:rPr>
        <w:t>olaya ilişkin bildikleri hakkında doğruyu söyleyeceği hususunda yemin ettirilir.</w:t>
      </w:r>
      <w:r w:rsidRPr="0017375F">
        <w:rPr>
          <w:rFonts w:ascii="Times New Roman" w:eastAsiaTheme="minorEastAsia" w:hAnsi="Times New Roman" w:cs="Times New Roman"/>
          <w:sz w:val="24"/>
          <w:szCs w:val="24"/>
          <w:lang w:eastAsia="tr-TR"/>
        </w:rPr>
        <w:t xml:space="preserve"> Tanığın yemin etmekten imtina etmesi durumunda bu husus tutanağa geçirilir. Tanığın ifadesi, soruşturmacı ve yeminli zabıt katibi eşliğinde dinlenerek zapta geçirilir. İki nüsha hazırlanan olan tutanağın bir örneği talebi halinde tanığa verilir ve soruşturmacıda kalan nüshası üzerine, diğer nüshayı elden aldığına ilişkin imzası alınır. </w:t>
      </w:r>
    </w:p>
    <w:p w14:paraId="7EFF208A"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Tanık dilerse ifadesini yazılı olarak sunabilir. Tanığın huzurda veya istinabe ( ifadesine başvurulacak kişinin il dışında olması veya askerlik, tutukluluk gibi nedenlerle ifade vermeye gelemeyecek durumda olması halinde ifadesinin, bağlı olduğu mülki ya da idari amir ya da tutukluluk halinde cezaevi savcısı tarafından alınmasının talep edilmesi ) suretiyle kimlik tespiti yapılmalı, yazılı beyanının doğruluğuna ilişkin usulüne uygun yemin ettirilmeli, tutanağa ifadesini yazılı vermek istediği hususu yazılarak, belli bir süre verilmeli, tutanakta bu süreyi tanığın da onayladığı belirtilmelidir. </w:t>
      </w:r>
    </w:p>
    <w:p w14:paraId="1C905B13"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p>
    <w:p w14:paraId="6902B500" w14:textId="77777777" w:rsidR="0017375F" w:rsidRDefault="0017375F" w:rsidP="0017375F">
      <w:pPr>
        <w:numPr>
          <w:ilvl w:val="0"/>
          <w:numId w:val="10"/>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t>Diğer Delillerin Toplanması:</w:t>
      </w:r>
      <w:r w:rsidRPr="0017375F">
        <w:rPr>
          <w:rFonts w:ascii="Times New Roman" w:eastAsiaTheme="minorEastAsia" w:hAnsi="Times New Roman" w:cs="Times New Roman"/>
          <w:sz w:val="24"/>
          <w:szCs w:val="24"/>
          <w:lang w:eastAsia="tr-TR"/>
        </w:rPr>
        <w:t xml:space="preserve">  </w:t>
      </w:r>
    </w:p>
    <w:p w14:paraId="27E6BDAF" w14:textId="77777777" w:rsidR="0017375F" w:rsidRPr="0017375F" w:rsidRDefault="0017375F" w:rsidP="0017375F">
      <w:pPr>
        <w:spacing w:after="0" w:line="240" w:lineRule="auto"/>
        <w:ind w:left="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w:t>
      </w:r>
    </w:p>
    <w:p w14:paraId="5A079FA4"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 Esasen 2547 sayılı Kanun’da yer alan özel hüküm nedeniyle soruşturmacı, soruşturma </w:t>
      </w:r>
      <w:r w:rsidRPr="0017375F">
        <w:rPr>
          <w:rFonts w:ascii="Times New Roman" w:eastAsiaTheme="minorEastAsia" w:hAnsi="Times New Roman" w:cs="Times New Roman"/>
          <w:sz w:val="24"/>
          <w:szCs w:val="24"/>
          <w:lang w:eastAsia="tr-TR"/>
        </w:rPr>
        <w:lastRenderedPageBreak/>
        <w:t xml:space="preserve">kapsamında Cumhuriyet Savcısının sahip olduğu yetkilere sahip ise de uygulamada bu durum pek çok kişi ve kuruluş tarafından bilinmediğinden soruşturmacılar zorluk yaşamaktadırlar. </w:t>
      </w:r>
    </w:p>
    <w:p w14:paraId="718431D7"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Kurum dışı keşif ve bilirkişi incelemesi yapılması gerektiğinde işlemlerin Rektörlük Makamı aracılığıyla yürütülmesi uygun olacaktır. </w:t>
      </w:r>
    </w:p>
    <w:p w14:paraId="7778E815"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Soruşturmacı dosyada bilirkişi incelemesine ihtiyaç olup olmadığına dosya kapsamında kendisi karar verecektir. Ancak özellikle de tıbbi hatadan kaynaklanan soruşturmalarda Üniversitemiz dışından gerektiğinde üç kişiden teşkil ettirilen bilirkişi heyetine inceleme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w:t>
      </w:r>
    </w:p>
    <w:p w14:paraId="746C6BE1"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p>
    <w:p w14:paraId="6D31ED52" w14:textId="77777777" w:rsidR="0017375F" w:rsidRDefault="0017375F" w:rsidP="0017375F">
      <w:pPr>
        <w:numPr>
          <w:ilvl w:val="0"/>
          <w:numId w:val="10"/>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t>Fezlekenin Hazırlanması:</w:t>
      </w:r>
      <w:r w:rsidRPr="0017375F">
        <w:rPr>
          <w:rFonts w:ascii="Times New Roman" w:eastAsiaTheme="minorEastAsia" w:hAnsi="Times New Roman" w:cs="Times New Roman"/>
          <w:sz w:val="24"/>
          <w:szCs w:val="24"/>
          <w:lang w:eastAsia="tr-TR"/>
        </w:rPr>
        <w:t xml:space="preserve"> </w:t>
      </w:r>
    </w:p>
    <w:p w14:paraId="2F6A66F7" w14:textId="77777777" w:rsidR="0017375F" w:rsidRPr="0017375F" w:rsidRDefault="0017375F" w:rsidP="0017375F">
      <w:pPr>
        <w:spacing w:after="0" w:line="240" w:lineRule="auto"/>
        <w:ind w:left="420"/>
        <w:contextualSpacing/>
        <w:jc w:val="both"/>
        <w:rPr>
          <w:rFonts w:ascii="Times New Roman" w:eastAsiaTheme="minorEastAsia" w:hAnsi="Times New Roman" w:cs="Times New Roman"/>
          <w:sz w:val="24"/>
          <w:szCs w:val="24"/>
          <w:lang w:eastAsia="tr-TR"/>
        </w:rPr>
      </w:pPr>
    </w:p>
    <w:p w14:paraId="1FFCD518"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Soruşturma aşamasında müştekiler, şüpheliler ile tüm tanıkların ifadeleri alındıktan ve gerekli görülen tüm deliller toplandıktan sonra soruşturmacı tarafından, kendisine soruşturma görevi veren amire sunulmak üzere fezleke hazırlanır. </w:t>
      </w:r>
    </w:p>
    <w:p w14:paraId="4187B882"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Fezlekede, soruşturmayı açan kurum, soruşturması istenilen olay, soruşturmanın ne şekilde başladığı, şüphelilerin isimleri (birden fazla şüpheli varsa tüm şüpheliler tek tek listelenmelidir) suçun niteliği, deliller, ifadelerin özeti, delillerin değerlendirilmesi, kanaat ve istem bölümleri yer alır. </w:t>
      </w:r>
    </w:p>
    <w:p w14:paraId="0EBE3550"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Fezlekenin ekinde, tebliğ belgeleri, tüm ifadeler ve yazılı ya da görsel bütün deliller yer alır. İstem bölümünde, soruşturmacı tarafından, şüpheli ya da şüphelilerin, </w:t>
      </w:r>
      <w:r w:rsidRPr="00D61866">
        <w:rPr>
          <w:rFonts w:ascii="Times New Roman" w:eastAsiaTheme="minorEastAsia" w:hAnsi="Times New Roman" w:cs="Times New Roman"/>
          <w:color w:val="FF0000"/>
          <w:sz w:val="24"/>
          <w:szCs w:val="24"/>
          <w:lang w:eastAsia="tr-TR"/>
        </w:rPr>
        <w:t xml:space="preserve">yargılanmalarına yer olup olmadığına (lüzum-u muhakeme ya da men-i muhakeme) ilişkin kanaat bildirilir. </w:t>
      </w:r>
      <w:r w:rsidRPr="0017375F">
        <w:rPr>
          <w:rFonts w:ascii="Times New Roman" w:eastAsiaTheme="minorEastAsia" w:hAnsi="Times New Roman" w:cs="Times New Roman"/>
          <w:sz w:val="24"/>
          <w:szCs w:val="24"/>
          <w:lang w:eastAsia="tr-TR"/>
        </w:rPr>
        <w:t xml:space="preserve">Fezlekede her bir şüpheli, olay ya da delil ayrı değerlendirilmeli, kanaat gerekçelendirilmelidir. İstem bölümünde kanaat bildirilirken de şüphelilerin isimleri tek tek yazılmalıdır. </w:t>
      </w:r>
    </w:p>
    <w:p w14:paraId="320FE89F" w14:textId="77777777" w:rsidR="0017375F" w:rsidRPr="0017375F" w:rsidRDefault="0017375F" w:rsidP="0017375F">
      <w:pPr>
        <w:spacing w:after="0" w:line="240" w:lineRule="auto"/>
        <w:ind w:firstLine="420"/>
        <w:contextualSpacing/>
        <w:jc w:val="both"/>
        <w:rPr>
          <w:rFonts w:ascii="Times New Roman" w:eastAsiaTheme="minorEastAsia" w:hAnsi="Times New Roman" w:cs="Times New Roman"/>
          <w:sz w:val="24"/>
          <w:szCs w:val="24"/>
          <w:lang w:eastAsia="tr-TR"/>
        </w:rPr>
      </w:pPr>
    </w:p>
    <w:p w14:paraId="275BFC32" w14:textId="77777777" w:rsidR="0017375F" w:rsidRPr="0017375F" w:rsidRDefault="0017375F" w:rsidP="0017375F">
      <w:pPr>
        <w:numPr>
          <w:ilvl w:val="0"/>
          <w:numId w:val="9"/>
        </w:numPr>
        <w:spacing w:after="0" w:line="240" w:lineRule="auto"/>
        <w:contextualSpacing/>
        <w:jc w:val="both"/>
        <w:rPr>
          <w:rFonts w:ascii="Times New Roman" w:eastAsiaTheme="minorEastAsia" w:hAnsi="Times New Roman" w:cs="Times New Roman"/>
          <w:b/>
          <w:sz w:val="24"/>
          <w:szCs w:val="24"/>
          <w:lang w:eastAsia="tr-TR"/>
        </w:rPr>
      </w:pPr>
      <w:r w:rsidRPr="0017375F">
        <w:rPr>
          <w:rFonts w:ascii="Times New Roman" w:eastAsiaTheme="minorEastAsia" w:hAnsi="Times New Roman" w:cs="Times New Roman"/>
          <w:b/>
          <w:sz w:val="24"/>
          <w:szCs w:val="24"/>
          <w:lang w:eastAsia="tr-TR"/>
        </w:rPr>
        <w:t xml:space="preserve">SORUŞTURMANIN SONUÇLANDIRILMASI </w:t>
      </w:r>
    </w:p>
    <w:p w14:paraId="0EE6DB3D" w14:textId="77777777" w:rsidR="0017375F" w:rsidRPr="0017375F" w:rsidRDefault="0017375F" w:rsidP="0017375F">
      <w:pPr>
        <w:spacing w:after="0" w:line="240" w:lineRule="auto"/>
        <w:ind w:left="720"/>
        <w:contextualSpacing/>
        <w:jc w:val="both"/>
        <w:rPr>
          <w:rFonts w:ascii="Times New Roman" w:eastAsiaTheme="minorEastAsia" w:hAnsi="Times New Roman" w:cs="Times New Roman"/>
          <w:b/>
          <w:sz w:val="24"/>
          <w:szCs w:val="24"/>
          <w:lang w:eastAsia="tr-TR"/>
        </w:rPr>
      </w:pPr>
    </w:p>
    <w:p w14:paraId="49757B2A" w14:textId="77777777" w:rsidR="0017375F" w:rsidRPr="0017375F" w:rsidRDefault="0017375F" w:rsidP="0017375F">
      <w:pPr>
        <w:tabs>
          <w:tab w:val="left" w:pos="567"/>
        </w:tabs>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Soruşturmacının, soruşturmayı tamamlayarak hazırladığı fezleke ve dosyayı, ilgili yetkili kurula gönderilmek üzere soruşturma emri veren makama sunması üzerine; soruşturma yapmaya yetkili makam tarafından fezleke ve ekleri, karar vermeye yetkili kurula ulaştırılır. </w:t>
      </w:r>
    </w:p>
    <w:p w14:paraId="3B02E974" w14:textId="77777777" w:rsidR="0017375F" w:rsidRDefault="0017375F" w:rsidP="0017375F">
      <w:pPr>
        <w:tabs>
          <w:tab w:val="left" w:pos="567"/>
        </w:tabs>
        <w:spacing w:after="0" w:line="240" w:lineRule="auto"/>
        <w:ind w:firstLine="420"/>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İlk soruşturma aşamasından sonra son soruşturmanın açılıp açılmamasına karar verecek kurullar 2547 sayılı Kanun’un 53/c-2 maddesinde yer almaktadır.</w:t>
      </w:r>
    </w:p>
    <w:p w14:paraId="79C2CFE5" w14:textId="77777777" w:rsidR="0017375F" w:rsidRPr="0017375F" w:rsidRDefault="0017375F" w:rsidP="0017375F">
      <w:pPr>
        <w:tabs>
          <w:tab w:val="left" w:pos="567"/>
        </w:tabs>
        <w:spacing w:after="0" w:line="240" w:lineRule="auto"/>
        <w:ind w:firstLine="420"/>
        <w:contextualSpacing/>
        <w:jc w:val="both"/>
        <w:rPr>
          <w:rFonts w:ascii="Times New Roman" w:eastAsiaTheme="minorEastAsia" w:hAnsi="Times New Roman" w:cs="Times New Roman"/>
          <w:sz w:val="24"/>
          <w:szCs w:val="24"/>
          <w:lang w:eastAsia="tr-TR"/>
        </w:rPr>
      </w:pPr>
    </w:p>
    <w:p w14:paraId="41AE6C58" w14:textId="77777777" w:rsidR="0017375F" w:rsidRPr="0017375F" w:rsidRDefault="0017375F" w:rsidP="0017375F">
      <w:pPr>
        <w:numPr>
          <w:ilvl w:val="0"/>
          <w:numId w:val="11"/>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Yükseköğretim kurumu rektörleri, rektör yardımcıları hakkında, Yükseköğretim Kurulu üyelerinden teşkil edilecek üç kişilik kurul,</w:t>
      </w:r>
    </w:p>
    <w:p w14:paraId="5B7F3206" w14:textId="77777777" w:rsidR="0017375F" w:rsidRPr="0017375F" w:rsidRDefault="0017375F" w:rsidP="0017375F">
      <w:pPr>
        <w:numPr>
          <w:ilvl w:val="0"/>
          <w:numId w:val="11"/>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Üniversite, fakülte, enstitü ve yüksekokul yönetim kurulu üyeleri, fakülte dekanları dekan yardımcıları, enstitü ve yüksekokul müdürleri ve yardımcıları ile üniversite genel sekreteri hakkında, rektörün başkanlığında rektörce görevlendirilen rektör yardımcılarından oluşacak üç kişilik kurul, </w:t>
      </w:r>
    </w:p>
    <w:p w14:paraId="39AF0A04" w14:textId="77777777" w:rsidR="0017375F" w:rsidRPr="0017375F" w:rsidRDefault="0017375F" w:rsidP="0017375F">
      <w:pPr>
        <w:numPr>
          <w:ilvl w:val="0"/>
          <w:numId w:val="11"/>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Öğretim elemanları, fakülte enstitü ve yüksekokul sekreterleri hakkında üniversite yönetim kurulu üyeleri arasından oluşturulacak üç kişilik kurul, </w:t>
      </w:r>
    </w:p>
    <w:p w14:paraId="0B1FFC45" w14:textId="77777777" w:rsidR="0017375F" w:rsidRPr="0017375F" w:rsidRDefault="0017375F" w:rsidP="0017375F">
      <w:pPr>
        <w:numPr>
          <w:ilvl w:val="0"/>
          <w:numId w:val="11"/>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657 sayılı Devlet Memurları Kanunu’na tabi memurlar hakkında, mahal itibariyle yetkili il idare kurulu tarafından son soruşturmanın açılıp açılmayacağına karar verilir. </w:t>
      </w:r>
    </w:p>
    <w:p w14:paraId="651D9B1C" w14:textId="77777777" w:rsidR="0017375F" w:rsidRPr="0017375F" w:rsidRDefault="0017375F" w:rsidP="0017375F">
      <w:pPr>
        <w:spacing w:after="0" w:line="240" w:lineRule="auto"/>
        <w:ind w:left="1140"/>
        <w:contextualSpacing/>
        <w:jc w:val="both"/>
        <w:rPr>
          <w:rFonts w:ascii="Times New Roman" w:eastAsiaTheme="minorEastAsia" w:hAnsi="Times New Roman" w:cs="Times New Roman"/>
          <w:sz w:val="24"/>
          <w:szCs w:val="24"/>
          <w:lang w:eastAsia="tr-TR"/>
        </w:rPr>
      </w:pPr>
    </w:p>
    <w:p w14:paraId="3BD47C48" w14:textId="77777777" w:rsidR="0017375F" w:rsidRDefault="0017375F" w:rsidP="0017375F">
      <w:pPr>
        <w:tabs>
          <w:tab w:val="left" w:pos="567"/>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lastRenderedPageBreak/>
        <w:t xml:space="preserve">         Yetkili kurullar tarafından verilen kararlar, Danıştay’ın görevli dairesince verilecek kararın türüne göre lüzum-u muhakeme kararına ilgililerce yapılacak itiraz üzerine veya men-i muhakeme kararları kendiliğinden nihai olarak karara bağlanır.</w:t>
      </w:r>
    </w:p>
    <w:p w14:paraId="61B09A57" w14:textId="77777777" w:rsidR="0017375F" w:rsidRPr="0017375F" w:rsidRDefault="0017375F" w:rsidP="0017375F">
      <w:pPr>
        <w:tabs>
          <w:tab w:val="left" w:pos="567"/>
        </w:tabs>
        <w:spacing w:after="0" w:line="240" w:lineRule="auto"/>
        <w:jc w:val="both"/>
        <w:rPr>
          <w:rFonts w:ascii="Times New Roman" w:eastAsiaTheme="minorEastAsia" w:hAnsi="Times New Roman" w:cs="Times New Roman"/>
          <w:sz w:val="24"/>
          <w:szCs w:val="24"/>
          <w:lang w:eastAsia="tr-TR"/>
        </w:rPr>
      </w:pPr>
    </w:p>
    <w:p w14:paraId="4F1DE0AF" w14:textId="77777777" w:rsidR="0017375F" w:rsidRDefault="0017375F" w:rsidP="0017375F">
      <w:pPr>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Üniversite Yönetim Kurulunca oluşturulacak kurulda, görevlendirilecek asıl ve yedek üyeler bir yıl için seçilirler. Süresi sona erenlerin tekrar seçilmeleri mümkündür. </w:t>
      </w:r>
    </w:p>
    <w:p w14:paraId="484174B0" w14:textId="77777777" w:rsidR="0017375F" w:rsidRPr="0017375F" w:rsidRDefault="0017375F" w:rsidP="0017375F">
      <w:pPr>
        <w:spacing w:after="0" w:line="240" w:lineRule="auto"/>
        <w:jc w:val="both"/>
        <w:rPr>
          <w:rFonts w:ascii="Times New Roman" w:eastAsiaTheme="minorEastAsia" w:hAnsi="Times New Roman" w:cs="Times New Roman"/>
          <w:sz w:val="24"/>
          <w:szCs w:val="24"/>
          <w:lang w:eastAsia="tr-TR"/>
        </w:rPr>
      </w:pPr>
    </w:p>
    <w:p w14:paraId="122658FC" w14:textId="77777777" w:rsidR="0017375F" w:rsidRPr="0017375F" w:rsidRDefault="0017375F" w:rsidP="0017375F">
      <w:pPr>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Son soruşturmanın açılıp açılmamasına karar verecek kurullar üye tam sayısı ile toplanır. Kurullara, üye olması halinde soruşturmacı, müşteki ve şüpheliler katılamazlar. Noksanlar yedek üyelerle tamamlanır. Kurullarda, her üye oyunu kabul veya ret yoluyla vermekle görevlidir. Çekimser oy kullanılamaz. Kararlarda oy çokluğu esası uygulanır. Kararın oy çokluğu ile alınması halinde karara katılmayan üye imzasının yanına katılmadığını belirtmeli ve ayrıca katılmama gerekçesini yazılı olarak vermelidir. </w:t>
      </w:r>
    </w:p>
    <w:p w14:paraId="6430753D" w14:textId="77777777" w:rsidR="0017375F" w:rsidRPr="0017375F" w:rsidRDefault="0017375F" w:rsidP="0017375F">
      <w:pPr>
        <w:tabs>
          <w:tab w:val="left" w:pos="567"/>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2547 sayılı Kanun’un 53/c maddesinde, yukarıda sayılan karar kurullarınca son soruşturmanın açılması (lüzum-u muhakeme) veya son soruşturmanın açılmaması (men-i muhakeme) kararları verileceği belirtilmiştir. </w:t>
      </w:r>
    </w:p>
    <w:p w14:paraId="320EA01E" w14:textId="77777777" w:rsidR="0017375F" w:rsidRPr="0017375F" w:rsidRDefault="0017375F" w:rsidP="0017375F">
      <w:pPr>
        <w:tabs>
          <w:tab w:val="left" w:pos="567"/>
        </w:tabs>
        <w:spacing w:after="0" w:line="240" w:lineRule="auto"/>
        <w:jc w:val="both"/>
        <w:rPr>
          <w:rFonts w:ascii="Times New Roman" w:eastAsiaTheme="minorEastAsia" w:hAnsi="Times New Roman" w:cs="Times New Roman"/>
          <w:sz w:val="24"/>
          <w:szCs w:val="24"/>
          <w:lang w:eastAsia="tr-TR"/>
        </w:rPr>
      </w:pPr>
    </w:p>
    <w:p w14:paraId="76217B82" w14:textId="77777777" w:rsidR="0017375F" w:rsidRPr="0017375F" w:rsidRDefault="0017375F" w:rsidP="0017375F">
      <w:pPr>
        <w:numPr>
          <w:ilvl w:val="0"/>
          <w:numId w:val="12"/>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t>Lüzum-u Muhakeme (Son Soruşturmanın Açılması) Kararı</w:t>
      </w:r>
      <w:r w:rsidRPr="0017375F">
        <w:rPr>
          <w:rFonts w:ascii="Times New Roman" w:eastAsiaTheme="minorEastAsia" w:hAnsi="Times New Roman" w:cs="Times New Roman"/>
          <w:sz w:val="24"/>
          <w:szCs w:val="24"/>
          <w:lang w:eastAsia="tr-TR"/>
        </w:rPr>
        <w:t xml:space="preserve"> </w:t>
      </w:r>
    </w:p>
    <w:p w14:paraId="7D8C178B" w14:textId="77777777" w:rsidR="0017375F" w:rsidRPr="0017375F" w:rsidRDefault="0017375F" w:rsidP="0017375F">
      <w:pPr>
        <w:spacing w:after="0" w:line="240" w:lineRule="auto"/>
        <w:ind w:left="780"/>
        <w:jc w:val="both"/>
        <w:rPr>
          <w:rFonts w:ascii="Times New Roman" w:eastAsiaTheme="minorEastAsia" w:hAnsi="Times New Roman" w:cs="Times New Roman"/>
          <w:sz w:val="24"/>
          <w:szCs w:val="24"/>
          <w:lang w:eastAsia="tr-TR"/>
        </w:rPr>
      </w:pPr>
    </w:p>
    <w:p w14:paraId="0270304D" w14:textId="77777777" w:rsidR="0017375F" w:rsidRPr="0017375F" w:rsidRDefault="0017375F" w:rsidP="0017375F">
      <w:pPr>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2547 sayılı Kanun’un 53. maddesine göre, şüphelinin isnat edilen suçu işlediğine ilişkin inandırıcı ve yeterli delil bulunursa, şüphelinin yargılanmasını sağlayan lüzum-u muhakeme kararı verilir. Yetkili kurul kararlarında, şüphelinin adı, soyadı, isnat edilen suçu işlediği sıradaki memuriyet unvanı ve görevi, şüpheliler hakkında cezai kovuşturmayı gerektiren suç konusu eylemin neden ibaret olduğu ve isnat edilen suç konusu eylemlerin hangi tarihte işlendiği, her eylem hakkında verilen kararın gerekçesi, verilen kararın oy birliği ile mi yoksa oy çokluğu ile mi verildiği ve deliller gösterilir.</w:t>
      </w:r>
    </w:p>
    <w:p w14:paraId="24F9B6BE" w14:textId="77777777" w:rsidR="0017375F" w:rsidRPr="0017375F" w:rsidRDefault="0017375F" w:rsidP="0017375F">
      <w:pPr>
        <w:tabs>
          <w:tab w:val="left" w:pos="567"/>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Lüzum-u muhakeme kararları şüpheliye tebliğ edilir. Lüzum-u muhakeme kararına karşı şüphelinin 10 gün içinde itiraz hakkı bulunmaktadır.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gönderilir. </w:t>
      </w:r>
    </w:p>
    <w:p w14:paraId="1AE4566B" w14:textId="77777777" w:rsidR="0017375F" w:rsidRPr="0017375F" w:rsidRDefault="0017375F" w:rsidP="0017375F">
      <w:pPr>
        <w:tabs>
          <w:tab w:val="left" w:pos="567"/>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Yasal süre içinde itiraz edilmez veya karar üst kurulca (Danıştay) onanırsa kesinleşir. Bu şekilde dosya, itiraz üzerine kesinleşmişse Danıştay Başkanlığınca, itiraz edilmeksizin kesinleşmişse Rektörlük Makamı tarafından yetkili Cumhuriyet Başsavcılığına gönderilir. İtiraz sonucu kararı inceleyen daire, lüzum-u muhakeme kararını bozarak şüphelinin men-i muhakemesine karar verebilir. Bu durumda ise şüpheli yargılanmaz ve bu karar kesindir. </w:t>
      </w:r>
    </w:p>
    <w:p w14:paraId="44D4049D" w14:textId="77777777" w:rsidR="0017375F" w:rsidRPr="0017375F" w:rsidRDefault="0017375F" w:rsidP="0017375F">
      <w:pPr>
        <w:tabs>
          <w:tab w:val="left" w:pos="567"/>
        </w:tabs>
        <w:spacing w:after="0" w:line="240" w:lineRule="auto"/>
        <w:jc w:val="both"/>
        <w:rPr>
          <w:rFonts w:ascii="Times New Roman" w:eastAsiaTheme="minorEastAsia" w:hAnsi="Times New Roman" w:cs="Times New Roman"/>
          <w:sz w:val="24"/>
          <w:szCs w:val="24"/>
          <w:lang w:eastAsia="tr-TR"/>
        </w:rPr>
      </w:pPr>
    </w:p>
    <w:p w14:paraId="14C1C84A" w14:textId="77777777" w:rsidR="0017375F" w:rsidRPr="0017375F" w:rsidRDefault="0017375F" w:rsidP="0017375F">
      <w:pPr>
        <w:numPr>
          <w:ilvl w:val="0"/>
          <w:numId w:val="12"/>
        </w:numPr>
        <w:spacing w:after="0" w:line="240" w:lineRule="auto"/>
        <w:contextualSpacing/>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t>Men-i Muhakeme (Son Soruşturmanın Açılmaması) Kararı</w:t>
      </w:r>
      <w:r w:rsidRPr="0017375F">
        <w:rPr>
          <w:rFonts w:ascii="Times New Roman" w:eastAsiaTheme="minorEastAsia" w:hAnsi="Times New Roman" w:cs="Times New Roman"/>
          <w:sz w:val="24"/>
          <w:szCs w:val="24"/>
          <w:lang w:eastAsia="tr-TR"/>
        </w:rPr>
        <w:t xml:space="preserve"> </w:t>
      </w:r>
    </w:p>
    <w:p w14:paraId="692D7CC5" w14:textId="77777777" w:rsidR="0017375F" w:rsidRPr="0017375F" w:rsidRDefault="0017375F" w:rsidP="0017375F">
      <w:pPr>
        <w:spacing w:after="0" w:line="240" w:lineRule="auto"/>
        <w:ind w:left="1140"/>
        <w:contextualSpacing/>
        <w:jc w:val="both"/>
        <w:rPr>
          <w:rFonts w:ascii="Times New Roman" w:eastAsiaTheme="minorEastAsia" w:hAnsi="Times New Roman" w:cs="Times New Roman"/>
          <w:sz w:val="24"/>
          <w:szCs w:val="24"/>
          <w:lang w:eastAsia="tr-TR"/>
        </w:rPr>
      </w:pPr>
    </w:p>
    <w:p w14:paraId="1118931F" w14:textId="77777777" w:rsidR="0017375F" w:rsidRDefault="0017375F" w:rsidP="0017375F">
      <w:pPr>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Şüpheli hakkında suç sabit bulunmaz, kanuni unsurları teşekkül etmez, suç şüpheliye atfedilemez ya da şüphelinin suçu işlediği konusunda kamu davasının açılmasına yetecek ölçüde kanıt elde edilemezse men-i muhakeme kararı verilir. </w:t>
      </w:r>
    </w:p>
    <w:p w14:paraId="76D0C1E8" w14:textId="77777777" w:rsidR="0017375F" w:rsidRPr="0017375F" w:rsidRDefault="0017375F" w:rsidP="0017375F">
      <w:pPr>
        <w:spacing w:after="0" w:line="240" w:lineRule="auto"/>
        <w:jc w:val="both"/>
        <w:rPr>
          <w:rFonts w:ascii="Times New Roman" w:eastAsiaTheme="minorEastAsia" w:hAnsi="Times New Roman" w:cs="Times New Roman"/>
          <w:sz w:val="24"/>
          <w:szCs w:val="24"/>
          <w:lang w:eastAsia="tr-TR"/>
        </w:rPr>
      </w:pPr>
    </w:p>
    <w:p w14:paraId="41ABE395" w14:textId="77777777" w:rsidR="0017375F" w:rsidRDefault="0017375F" w:rsidP="0017375F">
      <w:pPr>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Men-i muhakeme kararı, şüpheli hakkında son soruşturma yapılmasını önler ve bu karar şüpheliye ve varsa müştekiye bildirilir. Müştekiler bu karara 10 gün içinde itiraz edebilirler.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gönderilir. </w:t>
      </w:r>
    </w:p>
    <w:p w14:paraId="7A46A02B" w14:textId="77777777" w:rsidR="0017375F" w:rsidRPr="0017375F" w:rsidRDefault="0017375F" w:rsidP="0017375F">
      <w:pPr>
        <w:spacing w:after="0" w:line="240" w:lineRule="auto"/>
        <w:jc w:val="both"/>
        <w:rPr>
          <w:rFonts w:ascii="Times New Roman" w:eastAsiaTheme="minorEastAsia" w:hAnsi="Times New Roman" w:cs="Times New Roman"/>
          <w:sz w:val="24"/>
          <w:szCs w:val="24"/>
          <w:lang w:eastAsia="tr-TR"/>
        </w:rPr>
      </w:pPr>
    </w:p>
    <w:p w14:paraId="027B980C" w14:textId="77777777" w:rsid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İtiraz edilsin veya edilmesin, men-i muhakeme kararları kendiliğinden Danıştay’ca incelenir ve yapılan inceleme sonucunda karar onanırsa men-i muhakeme kararı kesinleşir. Danıştay men-i muhakeme kararlarını bozup lüzum-u muhakeme kararı da verebilir. Danıştay tarafından verilen kararlar kesin olup bunlara karşı itiraz yoluna başvurulamaz. </w:t>
      </w:r>
    </w:p>
    <w:p w14:paraId="5A84B2BD" w14:textId="77777777" w:rsidR="0017375F" w:rsidRP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p>
    <w:p w14:paraId="2FC9E736" w14:textId="77777777" w:rsidR="0017375F" w:rsidRP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Yetkili kurullar, şüphelinin ölümü, genel af ilanı, zaman aşımı, takibi şikayete bağlı suçlarda şikayetçinin altı ay içinde dilekçe vermemesi, şikayetinden karar verilmeden önce vazgeçmesi, fiilin Türk Ceza Kanunu kapsamında suç olmaması, şüphelinin görevi dolayısıyla ya da görevini yaptığı sırada gerçekleştirilen bir eylemden kaynaklanmaması gibi durumların birinin varlığı halinde kovuşturmaya yer olmadığına dair karar verebilirler. Bu kararlar da men-i muhakeme kararları gibi Danıştay’ın incelemesine tabidir. Danıştay’ın verdiği kararlar kesindir. </w:t>
      </w:r>
    </w:p>
    <w:p w14:paraId="6FB7D855" w14:textId="77777777" w:rsid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Soruşturma konusu eylem ve kişi hakkında bu soruşturmadan daha önce başlatılmış bir soruşturma ya da verilmiş bir karar varsa “karar verilmesine yer olmadığına” karar verilmelidir. Bu kararın da şüpheliye ve müştekiye tebliğ edilmesi gerekmektedir. Bu karar da Danıştay’ın incelemesine tabi olup men-i muhakeme kararında belirtilen usulle soruşturmayı açan makam tarafından Danıştay’a gönderilir. Danıştay’ın verdiği karar kesindir. </w:t>
      </w:r>
    </w:p>
    <w:p w14:paraId="7AF32D49" w14:textId="77777777" w:rsidR="0017375F" w:rsidRP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p>
    <w:p w14:paraId="5E1D45D3" w14:textId="77777777" w:rsid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Dosyayı inceleyen yetkili kurul (İl İdare Kurulu ya da Üniversite 3 Kişilik Kurulu) tarafından, soruşturma emrinin usule uygun alınmaması, soruşturmaya başka şüphelilerin de dahil edilmesi, şüpheli-tanık ifadelerinin hiç veya usulüne uygun alınmaması, eylemin bilirkişi incelemesini gerektiren bir suç olması halinde bilirkişi raporu düzenlettirilmemiş olması, soruşturmanın kanuna ve usule uyulmadan yapılması gibi durumların varlığı halinde eksiklikler giderilmek üzere dosyanın geri çevrilmesine karar verilebilir. Bu durumda dosya soruşturmacıya iade edilir; soruşturmacı tarafından, kararda belirtilen eksiklikler giderilir ve yeniden fezleke düzenlenerek dosya, soruşturmayı açan makama teslim edilir. Soruşturmayı açan makam dosyayı yeniden yetkili kurula gönderir. </w:t>
      </w:r>
    </w:p>
    <w:p w14:paraId="240C96AE" w14:textId="77777777" w:rsidR="0017375F" w:rsidRP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p>
    <w:p w14:paraId="11FD61B0" w14:textId="77777777" w:rsid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sz w:val="24"/>
          <w:szCs w:val="24"/>
          <w:lang w:eastAsia="tr-TR"/>
        </w:rPr>
        <w:t xml:space="preserve">              Danıştay tarafından yapılan inceleme neticesinde, yukarıda belirtilen eksikliklerin varlığı, yetkili kurulların kanun ve usule uygun olarak oluşmaması, toplanmaması ve usulsüz karar vermesi, verilen kararda noksanlık olması, oy çokluğu ile alınan kararlarda muhalefet görüşünün yazılmaması, kararda imzaların eksik olması, soruşturmacının karar organına üye olarak katılması, yasanın öngördüğü biçimde yazılı bildirimlerin yapılmaması, dosyanın başka bir kurula gönderilmesi gerekirken sehven yetkisiz ve görevsiz kurula gönderilmesi durumlarında dosyanın geri çevrilmesi kararı verilebilir. Bu durumda kararda belirtilen eksiklikler giderilerek yeniden karar verilir ve dosya usulüne uygun olarak Danıştay’a gönderilir.</w:t>
      </w:r>
    </w:p>
    <w:p w14:paraId="4099538F" w14:textId="77777777" w:rsidR="0046532E" w:rsidRDefault="0046532E" w:rsidP="0017375F">
      <w:pPr>
        <w:tabs>
          <w:tab w:val="left" w:pos="851"/>
        </w:tabs>
        <w:spacing w:after="0" w:line="240" w:lineRule="auto"/>
        <w:jc w:val="both"/>
        <w:rPr>
          <w:rFonts w:ascii="Times New Roman" w:eastAsiaTheme="minorEastAsia" w:hAnsi="Times New Roman" w:cs="Times New Roman"/>
          <w:sz w:val="24"/>
          <w:szCs w:val="24"/>
          <w:lang w:eastAsia="tr-TR"/>
        </w:rPr>
      </w:pPr>
    </w:p>
    <w:p w14:paraId="55277EBF" w14:textId="0C7F878D" w:rsidR="0046532E" w:rsidRPr="00D61866" w:rsidRDefault="00D61866" w:rsidP="00D61866">
      <w:pPr>
        <w:autoSpaceDE w:val="0"/>
        <w:autoSpaceDN w:val="0"/>
        <w:adjustRightInd w:val="0"/>
        <w:spacing w:after="0" w:line="240" w:lineRule="auto"/>
        <w:ind w:firstLine="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 </w:t>
      </w:r>
      <w:r w:rsidR="0046532E" w:rsidRPr="00D61866">
        <w:rPr>
          <w:rFonts w:ascii="Times New Roman" w:hAnsi="Times New Roman" w:cs="Times New Roman"/>
          <w:b/>
          <w:bCs/>
          <w:color w:val="000000"/>
          <w:sz w:val="24"/>
          <w:szCs w:val="24"/>
        </w:rPr>
        <w:t xml:space="preserve">Kovuşturmaya Yer Olmadığına İlişkin Karar </w:t>
      </w:r>
    </w:p>
    <w:p w14:paraId="67365182" w14:textId="77777777" w:rsidR="0046532E" w:rsidRPr="00A84ED2" w:rsidRDefault="0046532E" w:rsidP="0046532E">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14:paraId="29E1C630" w14:textId="77777777" w:rsidR="0046532E" w:rsidRPr="00A84ED2" w:rsidRDefault="0046532E" w:rsidP="00D61866">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84ED2">
        <w:rPr>
          <w:rFonts w:ascii="Times New Roman" w:hAnsi="Times New Roman" w:cs="Times New Roman"/>
          <w:color w:val="000000"/>
          <w:sz w:val="24"/>
          <w:szCs w:val="24"/>
        </w:rPr>
        <w:t xml:space="preserve">Yetkili kurullar, sanığın ölümü, genel af ilanı, zaman aşımı, takibi şikayete bağlı suçlarda şikayetçinin altı ay içinde dilekçe vermemesi, şikayetinden karar verilmeden önce vazgeçmesi, fiilin Türk Ceza Kanunu kapsamında suç olmaması, şüphelinin görevi dolayısıyla ya da görevini yaptığı sırada gerçekleştirilen bir eylemden kaynaklanmaması gibi durumların birinin varlığı halinde kovuşturmaya yer olmadığına dair karar verebilirler. </w:t>
      </w:r>
    </w:p>
    <w:p w14:paraId="557CF0BC" w14:textId="77777777" w:rsidR="0046532E"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r w:rsidRPr="00A84ED2">
        <w:rPr>
          <w:rFonts w:ascii="Times New Roman" w:hAnsi="Times New Roman" w:cs="Times New Roman"/>
          <w:color w:val="000000"/>
          <w:sz w:val="24"/>
          <w:szCs w:val="24"/>
        </w:rPr>
        <w:t>Bu kararlar da Danıştay’ın incelemesine tabi olup men-i muhakeme kararında belirtilen usulle soruşturmayı açan makam tarafından Danıştay’a iletilmek üzere Rektörlük Makamına gönderilir. Danıştay’ın verdiği karar kesindir. Kararların müşteki ve şüpheliye tebliği ile bilgi için Personel Dairesi Başkanlığına ve şüphelinin dairesi amirine gönderilmesi gerekir.</w:t>
      </w:r>
    </w:p>
    <w:p w14:paraId="352C3935" w14:textId="77777777" w:rsidR="0046532E" w:rsidRPr="00A84ED2"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r w:rsidRPr="00A84ED2">
        <w:rPr>
          <w:rFonts w:ascii="Times New Roman" w:hAnsi="Times New Roman" w:cs="Times New Roman"/>
          <w:color w:val="000000"/>
          <w:sz w:val="24"/>
          <w:szCs w:val="24"/>
        </w:rPr>
        <w:lastRenderedPageBreak/>
        <w:t xml:space="preserve"> </w:t>
      </w:r>
    </w:p>
    <w:p w14:paraId="7C9B8915" w14:textId="5192AA0F" w:rsidR="0046532E" w:rsidRPr="00D61866" w:rsidRDefault="0046532E" w:rsidP="00D61866">
      <w:pPr>
        <w:pStyle w:val="ListeParagraf"/>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61866">
        <w:rPr>
          <w:rFonts w:ascii="Times New Roman" w:hAnsi="Times New Roman" w:cs="Times New Roman"/>
          <w:b/>
          <w:bCs/>
          <w:color w:val="000000"/>
          <w:sz w:val="24"/>
          <w:szCs w:val="24"/>
        </w:rPr>
        <w:t xml:space="preserve">Karar Verilmesine Yer Olmadığına İlişkin Karar </w:t>
      </w:r>
    </w:p>
    <w:p w14:paraId="75E6DADE" w14:textId="77777777" w:rsidR="0046532E" w:rsidRPr="00A84ED2"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p>
    <w:p w14:paraId="34677AC0" w14:textId="77777777" w:rsidR="0046532E" w:rsidRDefault="0046532E" w:rsidP="00D61866">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84ED2">
        <w:rPr>
          <w:rFonts w:ascii="Times New Roman" w:hAnsi="Times New Roman" w:cs="Times New Roman"/>
          <w:color w:val="000000"/>
          <w:sz w:val="24"/>
          <w:szCs w:val="24"/>
        </w:rPr>
        <w:t xml:space="preserve">Soruşturma konusu eylem ve kişi hakkında bu soruşturmadan daha önce başlatılmış bir soruşturma ya da verilmiş bir karar varsa “karar verilmesine yer olmadığına” karar verilmelidir. Bu kararın da şüpheliye ve müştekiye tebliğ edilmesi gerekmektedir. </w:t>
      </w:r>
    </w:p>
    <w:p w14:paraId="00DCD439" w14:textId="77777777" w:rsidR="0046532E" w:rsidRPr="00A84ED2"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p>
    <w:p w14:paraId="32C63239" w14:textId="77777777" w:rsidR="0046532E" w:rsidRDefault="0046532E" w:rsidP="00D61866">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84ED2">
        <w:rPr>
          <w:rFonts w:ascii="Times New Roman" w:hAnsi="Times New Roman" w:cs="Times New Roman"/>
          <w:color w:val="000000"/>
          <w:sz w:val="24"/>
          <w:szCs w:val="24"/>
        </w:rPr>
        <w:t xml:space="preserve">Bu karar da Danıştay’ın incelemesine tabi olup men-i muhakeme kararında belirtilen usulle soruşturmayı açan makam tarafından Danıştay’a gönderilir. Danıştay’ın verdiği karar kesindir. Kesinleşen kararların müşteki ve şüpheliye tebliği ile bilgi için Personel Dairesi Başkanlığına ve şüphelinin dairesi amirine gönderilmesi gerekir. </w:t>
      </w:r>
    </w:p>
    <w:p w14:paraId="7881924A" w14:textId="77777777" w:rsidR="0046532E" w:rsidRPr="00A84ED2"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p>
    <w:p w14:paraId="1DD62792" w14:textId="77777777" w:rsidR="0046532E" w:rsidRDefault="0046532E" w:rsidP="0046532E">
      <w:pPr>
        <w:pStyle w:val="ListeParagraf"/>
        <w:autoSpaceDE w:val="0"/>
        <w:autoSpaceDN w:val="0"/>
        <w:adjustRightInd w:val="0"/>
        <w:spacing w:after="0" w:line="240" w:lineRule="auto"/>
        <w:jc w:val="both"/>
        <w:rPr>
          <w:rFonts w:ascii="Times New Roman" w:hAnsi="Times New Roman" w:cs="Times New Roman"/>
          <w:b/>
          <w:color w:val="000000"/>
          <w:sz w:val="24"/>
          <w:szCs w:val="24"/>
        </w:rPr>
      </w:pPr>
    </w:p>
    <w:p w14:paraId="3BB8BF84" w14:textId="75DF4A90" w:rsidR="0046532E" w:rsidRPr="00D61866" w:rsidRDefault="0046532E" w:rsidP="00D61866">
      <w:pPr>
        <w:pStyle w:val="ListeParagraf"/>
        <w:numPr>
          <w:ilvl w:val="0"/>
          <w:numId w:val="25"/>
        </w:numPr>
        <w:autoSpaceDE w:val="0"/>
        <w:autoSpaceDN w:val="0"/>
        <w:adjustRightInd w:val="0"/>
        <w:spacing w:after="0" w:line="240" w:lineRule="auto"/>
        <w:jc w:val="both"/>
        <w:rPr>
          <w:rFonts w:ascii="Times New Roman" w:hAnsi="Times New Roman" w:cs="Times New Roman"/>
          <w:b/>
          <w:color w:val="000000"/>
          <w:sz w:val="24"/>
          <w:szCs w:val="24"/>
        </w:rPr>
      </w:pPr>
      <w:r w:rsidRPr="00D61866">
        <w:rPr>
          <w:rFonts w:ascii="Times New Roman" w:hAnsi="Times New Roman" w:cs="Times New Roman"/>
          <w:b/>
          <w:color w:val="000000"/>
          <w:sz w:val="24"/>
          <w:szCs w:val="24"/>
        </w:rPr>
        <w:t xml:space="preserve">Dosyanın Geri Çevrilmesi Kararı </w:t>
      </w:r>
    </w:p>
    <w:p w14:paraId="3997FCA0" w14:textId="77777777" w:rsidR="0046532E" w:rsidRPr="00A84ED2" w:rsidRDefault="0046532E" w:rsidP="0046532E">
      <w:pPr>
        <w:autoSpaceDE w:val="0"/>
        <w:autoSpaceDN w:val="0"/>
        <w:adjustRightInd w:val="0"/>
        <w:spacing w:after="0" w:line="240" w:lineRule="auto"/>
        <w:ind w:left="360"/>
        <w:jc w:val="both"/>
        <w:rPr>
          <w:rFonts w:ascii="Times New Roman" w:hAnsi="Times New Roman" w:cs="Times New Roman"/>
          <w:color w:val="000000"/>
          <w:sz w:val="24"/>
          <w:szCs w:val="24"/>
        </w:rPr>
      </w:pPr>
    </w:p>
    <w:p w14:paraId="16C35F84" w14:textId="77777777" w:rsidR="0046532E" w:rsidRDefault="0046532E" w:rsidP="00D61866">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84ED2">
        <w:rPr>
          <w:rFonts w:ascii="Times New Roman" w:hAnsi="Times New Roman" w:cs="Times New Roman"/>
          <w:color w:val="000000"/>
          <w:sz w:val="24"/>
          <w:szCs w:val="24"/>
        </w:rPr>
        <w:t xml:space="preserve">Dosyayı inceleyen yetkili kurul (İl İdare Kurulu ya da Üniversite 3 Kişilik Kurulu) tarafından, soruşturma emrinin usule uygun alınmaması, soruşturmaya başka şüphelilerin de dahil edilmesi, şüpheli-tanık ifadelerinin hiç veya usulüne uygun alınmaması, eylemin bilirkişi incelemesini gerektiren bir suç olması halinde bilirkişi raporu düzenlettirilmemiş olması, soruşturmanın kanuna ve usule uyulmadan yapılması gibi durumların varlığı halinde eksiklikler giderilmek üzere dosyanın geri çevrilmesine karar verilebilir. Bu durumda soruşturmacı tarafından, kararda belirtilen eksiklikler giderilir ve yeniden fezleke düzenlenerek dosya, soruşturmayı açan makama teslim edilir. Soruşturmayı açan makam dosyayı yeniden yetkili kurula gönderir. </w:t>
      </w:r>
    </w:p>
    <w:p w14:paraId="6034192D" w14:textId="77777777" w:rsidR="0046532E" w:rsidRPr="00A84ED2"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p>
    <w:p w14:paraId="49B6C577" w14:textId="77777777" w:rsidR="0046532E" w:rsidRDefault="0046532E" w:rsidP="0046532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84ED2">
        <w:rPr>
          <w:rFonts w:ascii="Times New Roman" w:hAnsi="Times New Roman" w:cs="Times New Roman"/>
          <w:color w:val="000000"/>
          <w:sz w:val="24"/>
          <w:szCs w:val="24"/>
        </w:rPr>
        <w:t xml:space="preserve">Danıştay tarafından yapılan inceleme neticesinde ise, yukarıda belirtilen eksikliklerin varlığı, yetkili kurulların kanun ve usule uygun olarak oluşmaması, toplanmaması ve usulsüz karar vermesi, verilen kararda noksanlık olması, oy çokluğu ile alınan kararlarda muhalefet görüşünün yazılmaması, kararda imzaların eksik olması, soruşturmacının karar organına üye olarak katılması, yasanın öngördüğü biçimde yazılı bildirimlerin yapılmaması, dosyanın başka bir kurula gönderilmesi gerekirken sehven yetkisiz ve görevsiz kurula gönderilmesi durumlarında dosyanın geri çevrilmesi kararı verilebilir. Bu durumda kararda belirtilen eksiklikler giderilerek yeniden karar verilir ve dosya usulüne uygun olarak Danıştay’a gönderilir. </w:t>
      </w:r>
    </w:p>
    <w:p w14:paraId="03C23236" w14:textId="77777777" w:rsidR="0017375F" w:rsidRP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p>
    <w:p w14:paraId="4C0CFC23" w14:textId="77777777" w:rsidR="0017375F" w:rsidRP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r w:rsidRPr="0017375F">
        <w:rPr>
          <w:rFonts w:ascii="Times New Roman" w:eastAsiaTheme="minorEastAsia" w:hAnsi="Times New Roman" w:cs="Times New Roman"/>
          <w:b/>
          <w:sz w:val="24"/>
          <w:szCs w:val="24"/>
          <w:lang w:eastAsia="tr-TR"/>
        </w:rPr>
        <w:t xml:space="preserve">             D.İSTİSNALAR</w:t>
      </w:r>
      <w:r w:rsidRPr="0017375F">
        <w:rPr>
          <w:rFonts w:ascii="Times New Roman" w:eastAsiaTheme="minorEastAsia" w:hAnsi="Times New Roman" w:cs="Times New Roman"/>
          <w:sz w:val="24"/>
          <w:szCs w:val="24"/>
          <w:lang w:eastAsia="tr-TR"/>
        </w:rPr>
        <w:t xml:space="preserve"> </w:t>
      </w:r>
    </w:p>
    <w:p w14:paraId="29319F3C" w14:textId="77777777" w:rsidR="0017375F" w:rsidRPr="0017375F" w:rsidRDefault="0017375F" w:rsidP="0017375F">
      <w:pPr>
        <w:tabs>
          <w:tab w:val="left" w:pos="851"/>
        </w:tabs>
        <w:spacing w:after="0" w:line="240" w:lineRule="auto"/>
        <w:jc w:val="both"/>
        <w:rPr>
          <w:rFonts w:ascii="Times New Roman" w:eastAsiaTheme="minorEastAsia" w:hAnsi="Times New Roman" w:cs="Times New Roman"/>
          <w:sz w:val="24"/>
          <w:szCs w:val="24"/>
          <w:lang w:eastAsia="tr-TR"/>
        </w:rPr>
      </w:pPr>
    </w:p>
    <w:p w14:paraId="6FB69670" w14:textId="77777777" w:rsidR="0046532E" w:rsidRDefault="0017375F" w:rsidP="0046532E">
      <w:pPr>
        <w:autoSpaceDE w:val="0"/>
        <w:autoSpaceDN w:val="0"/>
        <w:adjustRightInd w:val="0"/>
        <w:spacing w:after="0" w:line="240" w:lineRule="auto"/>
        <w:jc w:val="both"/>
        <w:rPr>
          <w:rFonts w:ascii="Times New Roman" w:hAnsi="Times New Roman" w:cs="Times New Roman"/>
          <w:color w:val="000000"/>
          <w:sz w:val="24"/>
          <w:szCs w:val="24"/>
        </w:rPr>
      </w:pPr>
      <w:r w:rsidRPr="0017375F">
        <w:rPr>
          <w:rFonts w:ascii="Times New Roman" w:eastAsiaTheme="minorEastAsia" w:hAnsi="Times New Roman" w:cs="Times New Roman"/>
          <w:sz w:val="24"/>
          <w:szCs w:val="24"/>
          <w:lang w:eastAsia="tr-TR"/>
        </w:rPr>
        <w:t xml:space="preserve">            </w:t>
      </w:r>
      <w:r w:rsidR="0046532E" w:rsidRPr="00A84ED2">
        <w:rPr>
          <w:rFonts w:ascii="Times New Roman" w:hAnsi="Times New Roman" w:cs="Times New Roman"/>
          <w:color w:val="000000"/>
          <w:sz w:val="24"/>
          <w:szCs w:val="24"/>
        </w:rPr>
        <w:t>Yükseköğretim personelinin işlemiş olduğu tüm suçlar hakkındaki soruşturma 2547 sayılı Kanun hükümlerine göre yürütülmez. Bazı suçlar genel hükümlere göre Cumhuriyet Savcılıklarınca soruşturulurlar.</w:t>
      </w:r>
    </w:p>
    <w:p w14:paraId="4AB63821" w14:textId="77777777" w:rsidR="0046532E" w:rsidRDefault="0046532E" w:rsidP="0046532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4B942420" w14:textId="77777777" w:rsidR="0046532E" w:rsidRDefault="0046532E" w:rsidP="0046532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70566">
        <w:rPr>
          <w:rFonts w:ascii="Times New Roman" w:hAnsi="Times New Roman" w:cs="Times New Roman"/>
          <w:color w:val="000000"/>
          <w:sz w:val="24"/>
          <w:szCs w:val="24"/>
        </w:rPr>
        <w:t xml:space="preserve">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sükun, huzur ve çalışma düzenini bozan boykot, işgal, engelleme bunları teşvik ve tahrik, anarşik ve ideolojik olaylara ilişkin suçlar ile ağır cezayı gerektiren suçüstü hallerinde soruşturmayı savcı doğrudan yapar. </w:t>
      </w:r>
    </w:p>
    <w:p w14:paraId="0D3ACD2C" w14:textId="77777777" w:rsidR="0046532E" w:rsidRPr="00F70566"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p>
    <w:p w14:paraId="23DDD9E4" w14:textId="77777777" w:rsidR="0046532E" w:rsidRDefault="0046532E" w:rsidP="0046532E">
      <w:pPr>
        <w:autoSpaceDE w:val="0"/>
        <w:autoSpaceDN w:val="0"/>
        <w:adjustRightInd w:val="0"/>
        <w:spacing w:after="0" w:line="240" w:lineRule="auto"/>
        <w:jc w:val="both"/>
        <w:rPr>
          <w:rFonts w:ascii="Times New Roman" w:hAnsi="Times New Roman" w:cs="Times New Roman"/>
          <w:b/>
          <w:bCs/>
          <w:color w:val="000000"/>
          <w:sz w:val="24"/>
          <w:szCs w:val="24"/>
        </w:rPr>
      </w:pPr>
      <w:r w:rsidRPr="00F70566">
        <w:rPr>
          <w:rFonts w:ascii="Times New Roman" w:hAnsi="Times New Roman" w:cs="Times New Roman"/>
          <w:b/>
          <w:bCs/>
          <w:color w:val="000000"/>
          <w:sz w:val="24"/>
          <w:szCs w:val="24"/>
        </w:rPr>
        <w:lastRenderedPageBreak/>
        <w:t xml:space="preserve"> 4483 Sayılı Memurlar ve Diğer Kamu Görevlilerinin Yargılanması Hakkında Kanun’un 2547 Sayılı Kanun’a Tabi Personele Uygulanması </w:t>
      </w:r>
    </w:p>
    <w:p w14:paraId="10FCCF8E" w14:textId="77777777" w:rsidR="0046532E" w:rsidRPr="00F70566"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p>
    <w:p w14:paraId="4DB33840" w14:textId="77777777" w:rsidR="0046532E" w:rsidRDefault="0046532E" w:rsidP="0046532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70566">
        <w:rPr>
          <w:rFonts w:ascii="Times New Roman" w:hAnsi="Times New Roman" w:cs="Times New Roman"/>
          <w:color w:val="000000"/>
          <w:sz w:val="24"/>
          <w:szCs w:val="24"/>
        </w:rPr>
        <w:t xml:space="preserve">2547 sayılı Yükseköğretim Kanunu 2653 sayılı Kanun ile değişik 53 üncü maddesi (c) bendinde; Yükseköğretim üst kuruluşları başkan ve üyeleri ile yükseköğretim kurumları yöneticilerinin, kadrolu ve sözleşmeli öğretim elemanları ve bu kuruluş ve kurumlarının 657 sayılı Devlet Memurları Kanunu’na tabi memurlarının görevleri dolayısıyla ya da görevlerini yaptıkları sırada işledikleri ileri sürülen suçlar ile ilgili olarak uygulanacak ceza soruşturması usulü düzenlenmiştir. Buna göre anılan bendin 2 sayılı alt bendinde; yukarıda belirtilen kamu görevlileri hakkında son soruşturmanın açılıp açılmamasına karar verecek kurullar, 4 sayılı alt bendinde; son soruşturmanın açılıp açılmamasına ilişkin kararları inceleme yetkisine sahip olan üst kurullar sayılmış ve anılan bendin 8 sayılı alt bendinde de; "bu Kanunda yer almamış hususlarda 4 Şubat 1329 tarihli Memurin </w:t>
      </w:r>
      <w:proofErr w:type="spellStart"/>
      <w:r w:rsidRPr="00F70566">
        <w:rPr>
          <w:rFonts w:ascii="Times New Roman" w:hAnsi="Times New Roman" w:cs="Times New Roman"/>
          <w:color w:val="000000"/>
          <w:sz w:val="24"/>
          <w:szCs w:val="24"/>
        </w:rPr>
        <w:t>Muhakematı</w:t>
      </w:r>
      <w:proofErr w:type="spellEnd"/>
      <w:r w:rsidRPr="00F70566">
        <w:rPr>
          <w:rFonts w:ascii="Times New Roman" w:hAnsi="Times New Roman" w:cs="Times New Roman"/>
          <w:color w:val="000000"/>
          <w:sz w:val="24"/>
          <w:szCs w:val="24"/>
        </w:rPr>
        <w:t xml:space="preserve"> Hakkında Kanun hükümlerinin uygulanacağı" belirtilmiştir. </w:t>
      </w:r>
    </w:p>
    <w:p w14:paraId="6F81DBE5" w14:textId="77777777" w:rsidR="0046532E" w:rsidRPr="00F70566"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p>
    <w:p w14:paraId="63DDC891" w14:textId="77777777" w:rsidR="0046532E" w:rsidRDefault="0046532E" w:rsidP="0046532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70566">
        <w:rPr>
          <w:rFonts w:ascii="Times New Roman" w:hAnsi="Times New Roman" w:cs="Times New Roman"/>
          <w:color w:val="000000"/>
          <w:sz w:val="24"/>
          <w:szCs w:val="24"/>
        </w:rPr>
        <w:t xml:space="preserve">4483 sayılı Memurlar ve Diğer Kamu Görevlilerinin Yargılanması Hakkında Kanun’un 2. maddesinde; "Bu Kanun’un Devletin ve diğer kamu tüzel kişilerinin genel idare esaslarına göre yürüttükleri kamu hizmetlerinin gerektirdiği asli ve sürekli görevleri ifa eden memurlar ve diğer kamu görevlilerinin görevleri sebebi ile işledikleri suçlar hakkında uygulanacağı, görevleri ve sıfatları sebebi ile özel soruşturma ve kovuşturma usullerine tabi olanlara ilişkin kanun hükümleri ile suçun niteliği yönünden kanunlarda gösterilen soruşturma ve kovuşturma usullerine ilişkin hükümlerin saklı olduğu", 6. maddesinde de; "Ön inceleme ile görevlendirilen kişi ve kişiler, bakanlık müfettişleri ile kendilerini görevlendiren merciin bütün yetkilerine haiz olup, bu Kanunda hüküm bulunmayan hususlarda Ceza Muhakemesi Kanunu’na göre işlem yapabilecekleri" hükme bağlanmıştır. </w:t>
      </w:r>
    </w:p>
    <w:p w14:paraId="4E643D90" w14:textId="77777777" w:rsidR="0046532E" w:rsidRPr="00F70566"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p>
    <w:p w14:paraId="769AA3D0" w14:textId="77777777" w:rsidR="0046532E" w:rsidRDefault="0046532E" w:rsidP="0046532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70566">
        <w:rPr>
          <w:rFonts w:ascii="Times New Roman" w:hAnsi="Times New Roman" w:cs="Times New Roman"/>
          <w:color w:val="000000"/>
          <w:sz w:val="24"/>
          <w:szCs w:val="24"/>
        </w:rPr>
        <w:t xml:space="preserve">Öte yandan 4483 sayılı Kanun’un 16. maddesinde; "Kanunlarda Memurin </w:t>
      </w:r>
      <w:proofErr w:type="spellStart"/>
      <w:r w:rsidRPr="00F70566">
        <w:rPr>
          <w:rFonts w:ascii="Times New Roman" w:hAnsi="Times New Roman" w:cs="Times New Roman"/>
          <w:color w:val="000000"/>
          <w:sz w:val="24"/>
          <w:szCs w:val="24"/>
        </w:rPr>
        <w:t>Muhakematı</w:t>
      </w:r>
      <w:proofErr w:type="spellEnd"/>
      <w:r w:rsidRPr="00F70566">
        <w:rPr>
          <w:rFonts w:ascii="Times New Roman" w:hAnsi="Times New Roman" w:cs="Times New Roman"/>
          <w:color w:val="000000"/>
          <w:sz w:val="24"/>
          <w:szCs w:val="24"/>
        </w:rPr>
        <w:t xml:space="preserve"> Hakkında Kanunu </w:t>
      </w:r>
      <w:proofErr w:type="spellStart"/>
      <w:r w:rsidRPr="00F70566">
        <w:rPr>
          <w:rFonts w:ascii="Times New Roman" w:hAnsi="Times New Roman" w:cs="Times New Roman"/>
          <w:color w:val="000000"/>
          <w:sz w:val="24"/>
          <w:szCs w:val="24"/>
        </w:rPr>
        <w:t>Muvakkat'ın</w:t>
      </w:r>
      <w:proofErr w:type="spellEnd"/>
      <w:r w:rsidRPr="00F70566">
        <w:rPr>
          <w:rFonts w:ascii="Times New Roman" w:hAnsi="Times New Roman" w:cs="Times New Roman"/>
          <w:color w:val="000000"/>
          <w:sz w:val="24"/>
          <w:szCs w:val="24"/>
        </w:rPr>
        <w:t xml:space="preserve"> uygulanacağı belirtilen hallerde, 4483 sayılı Kanun hükümlerinin uygulanacağı" belirtilmiştir. </w:t>
      </w:r>
    </w:p>
    <w:p w14:paraId="258B4EFC" w14:textId="77777777" w:rsidR="0046532E" w:rsidRPr="00F70566" w:rsidRDefault="0046532E" w:rsidP="0046532E">
      <w:pPr>
        <w:autoSpaceDE w:val="0"/>
        <w:autoSpaceDN w:val="0"/>
        <w:adjustRightInd w:val="0"/>
        <w:spacing w:after="0" w:line="240" w:lineRule="auto"/>
        <w:jc w:val="both"/>
        <w:rPr>
          <w:rFonts w:ascii="Times New Roman" w:hAnsi="Times New Roman" w:cs="Times New Roman"/>
          <w:color w:val="000000"/>
          <w:sz w:val="24"/>
          <w:szCs w:val="24"/>
        </w:rPr>
      </w:pPr>
    </w:p>
    <w:p w14:paraId="6C61ED17" w14:textId="77777777" w:rsidR="0046532E" w:rsidRDefault="0046532E" w:rsidP="0046532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70566">
        <w:rPr>
          <w:rFonts w:ascii="Times New Roman" w:hAnsi="Times New Roman" w:cs="Times New Roman"/>
          <w:color w:val="000000"/>
          <w:sz w:val="24"/>
          <w:szCs w:val="24"/>
        </w:rPr>
        <w:t>Dolayısıyla 2547 sayılı Kanun’un 53. maddesinin (c) bendinde sayılan kamu görevlileri ile ilgili olarak yapılacak ceza soruşturmalarında; anılan bendin alt bentlerine ilişkin hükümler uygulanacaktır. 4483 sayılı Kanun hükümlerinin bu personel açısından uygulanma imkanı bulunmamaktadır. Sadece 2547 sayılı Kanunda yer almamış olan hususlarda 4483 sayılı Kanun hükümleri uygulanacak, her iki Kanunda da hüküm bulunmayan hallerde Ceza Muhakemesi Usulü Kanunu hükümleri uygulanacaktır.</w:t>
      </w:r>
    </w:p>
    <w:p w14:paraId="03B470F5" w14:textId="77777777" w:rsidR="00E335A9" w:rsidRPr="00E335A9" w:rsidRDefault="00E335A9" w:rsidP="00E335A9">
      <w:pPr>
        <w:autoSpaceDE w:val="0"/>
        <w:autoSpaceDN w:val="0"/>
        <w:adjustRightInd w:val="0"/>
        <w:spacing w:after="0" w:line="240" w:lineRule="auto"/>
        <w:jc w:val="both"/>
        <w:rPr>
          <w:rFonts w:ascii="Times New Roman" w:hAnsi="Times New Roman" w:cs="Times New Roman"/>
          <w:color w:val="000000"/>
          <w:sz w:val="24"/>
          <w:szCs w:val="24"/>
        </w:rPr>
      </w:pPr>
    </w:p>
    <w:p w14:paraId="3C5E0811" w14:textId="77777777" w:rsidR="00BB7A7E" w:rsidRDefault="00BB7A7E" w:rsidP="00BB7A7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7E684A22" w14:textId="77777777" w:rsidR="00A6642A" w:rsidRDefault="00A6642A" w:rsidP="00A6642A">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01F0FFCE" w14:textId="77777777" w:rsidR="00A84ED2" w:rsidRPr="00A84ED2" w:rsidRDefault="00A84ED2" w:rsidP="00A84ED2">
      <w:pPr>
        <w:autoSpaceDE w:val="0"/>
        <w:autoSpaceDN w:val="0"/>
        <w:adjustRightInd w:val="0"/>
        <w:spacing w:after="0" w:line="240" w:lineRule="auto"/>
        <w:jc w:val="both"/>
        <w:rPr>
          <w:rFonts w:ascii="Times New Roman" w:hAnsi="Times New Roman" w:cs="Times New Roman"/>
          <w:color w:val="000000"/>
          <w:sz w:val="24"/>
          <w:szCs w:val="24"/>
        </w:rPr>
      </w:pPr>
    </w:p>
    <w:p w14:paraId="15922248" w14:textId="77777777" w:rsidR="00F70566" w:rsidRDefault="00F70566" w:rsidP="00F70566">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2239F096" w14:textId="77777777" w:rsidR="00F70566" w:rsidRDefault="00F70566" w:rsidP="00F70566">
      <w:pPr>
        <w:autoSpaceDE w:val="0"/>
        <w:autoSpaceDN w:val="0"/>
        <w:adjustRightInd w:val="0"/>
        <w:spacing w:after="0" w:line="240" w:lineRule="auto"/>
        <w:ind w:firstLine="708"/>
        <w:jc w:val="both"/>
        <w:rPr>
          <w:rFonts w:ascii="Times New Roman" w:hAnsi="Times New Roman" w:cs="Times New Roman"/>
          <w:color w:val="000000"/>
          <w:sz w:val="24"/>
          <w:szCs w:val="24"/>
        </w:rPr>
      </w:pPr>
    </w:p>
    <w:sectPr w:rsidR="00F70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79C"/>
    <w:multiLevelType w:val="hybridMultilevel"/>
    <w:tmpl w:val="2606F7F4"/>
    <w:lvl w:ilvl="0" w:tplc="CCDA6184">
      <w:start w:val="1"/>
      <w:numFmt w:val="lowerLetter"/>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2925A2B"/>
    <w:multiLevelType w:val="hybridMultilevel"/>
    <w:tmpl w:val="E238016A"/>
    <w:lvl w:ilvl="0" w:tplc="80EEAF84">
      <w:start w:val="4"/>
      <w:numFmt w:val="lowerLetter"/>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0A324533"/>
    <w:multiLevelType w:val="hybridMultilevel"/>
    <w:tmpl w:val="56324ED8"/>
    <w:lvl w:ilvl="0" w:tplc="4B288D2E">
      <w:start w:val="1"/>
      <w:numFmt w:val="lowerLetter"/>
      <w:lvlText w:val="%1)"/>
      <w:lvlJc w:val="left"/>
      <w:pPr>
        <w:ind w:left="786" w:hanging="360"/>
      </w:pPr>
      <w:rPr>
        <w:b/>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3" w15:restartNumberingAfterBreak="0">
    <w:nsid w:val="0C4B446E"/>
    <w:multiLevelType w:val="hybridMultilevel"/>
    <w:tmpl w:val="64384CF2"/>
    <w:lvl w:ilvl="0" w:tplc="5EAED36C">
      <w:start w:val="1"/>
      <w:numFmt w:val="upperLetter"/>
      <w:lvlText w:val="%1."/>
      <w:lvlJc w:val="left"/>
      <w:pPr>
        <w:ind w:left="1200" w:hanging="360"/>
      </w:pPr>
      <w:rPr>
        <w:b/>
      </w:rPr>
    </w:lvl>
    <w:lvl w:ilvl="1" w:tplc="041F0019">
      <w:start w:val="1"/>
      <w:numFmt w:val="lowerLetter"/>
      <w:lvlText w:val="%2."/>
      <w:lvlJc w:val="left"/>
      <w:pPr>
        <w:ind w:left="1920" w:hanging="360"/>
      </w:pPr>
    </w:lvl>
    <w:lvl w:ilvl="2" w:tplc="041F001B">
      <w:start w:val="1"/>
      <w:numFmt w:val="lowerRoman"/>
      <w:lvlText w:val="%3."/>
      <w:lvlJc w:val="right"/>
      <w:pPr>
        <w:ind w:left="2640" w:hanging="180"/>
      </w:pPr>
    </w:lvl>
    <w:lvl w:ilvl="3" w:tplc="041F000F">
      <w:start w:val="1"/>
      <w:numFmt w:val="decimal"/>
      <w:lvlText w:val="%4."/>
      <w:lvlJc w:val="left"/>
      <w:pPr>
        <w:ind w:left="3360" w:hanging="360"/>
      </w:pPr>
    </w:lvl>
    <w:lvl w:ilvl="4" w:tplc="041F0019">
      <w:start w:val="1"/>
      <w:numFmt w:val="lowerLetter"/>
      <w:lvlText w:val="%5."/>
      <w:lvlJc w:val="left"/>
      <w:pPr>
        <w:ind w:left="4080" w:hanging="360"/>
      </w:pPr>
    </w:lvl>
    <w:lvl w:ilvl="5" w:tplc="041F001B">
      <w:start w:val="1"/>
      <w:numFmt w:val="lowerRoman"/>
      <w:lvlText w:val="%6."/>
      <w:lvlJc w:val="right"/>
      <w:pPr>
        <w:ind w:left="4800" w:hanging="180"/>
      </w:pPr>
    </w:lvl>
    <w:lvl w:ilvl="6" w:tplc="041F000F">
      <w:start w:val="1"/>
      <w:numFmt w:val="decimal"/>
      <w:lvlText w:val="%7."/>
      <w:lvlJc w:val="left"/>
      <w:pPr>
        <w:ind w:left="5520" w:hanging="360"/>
      </w:pPr>
    </w:lvl>
    <w:lvl w:ilvl="7" w:tplc="041F0019">
      <w:start w:val="1"/>
      <w:numFmt w:val="lowerLetter"/>
      <w:lvlText w:val="%8."/>
      <w:lvlJc w:val="left"/>
      <w:pPr>
        <w:ind w:left="6240" w:hanging="360"/>
      </w:pPr>
    </w:lvl>
    <w:lvl w:ilvl="8" w:tplc="041F001B">
      <w:start w:val="1"/>
      <w:numFmt w:val="lowerRoman"/>
      <w:lvlText w:val="%9."/>
      <w:lvlJc w:val="right"/>
      <w:pPr>
        <w:ind w:left="6960" w:hanging="180"/>
      </w:pPr>
    </w:lvl>
  </w:abstractNum>
  <w:abstractNum w:abstractNumId="4" w15:restartNumberingAfterBreak="0">
    <w:nsid w:val="0CBF2B73"/>
    <w:multiLevelType w:val="hybridMultilevel"/>
    <w:tmpl w:val="8646C626"/>
    <w:lvl w:ilvl="0" w:tplc="0A16386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5C34F0"/>
    <w:multiLevelType w:val="hybridMultilevel"/>
    <w:tmpl w:val="E6A61E72"/>
    <w:lvl w:ilvl="0" w:tplc="1046B7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9016D9"/>
    <w:multiLevelType w:val="hybridMultilevel"/>
    <w:tmpl w:val="6C3EF48A"/>
    <w:lvl w:ilvl="0" w:tplc="D9F0718C">
      <w:start w:val="1"/>
      <w:numFmt w:val="decimal"/>
      <w:lvlText w:val="%1)"/>
      <w:lvlJc w:val="left"/>
      <w:pPr>
        <w:ind w:left="987" w:hanging="360"/>
      </w:pPr>
    </w:lvl>
    <w:lvl w:ilvl="1" w:tplc="041F0019">
      <w:start w:val="1"/>
      <w:numFmt w:val="lowerLetter"/>
      <w:lvlText w:val="%2."/>
      <w:lvlJc w:val="left"/>
      <w:pPr>
        <w:ind w:left="1707" w:hanging="360"/>
      </w:pPr>
    </w:lvl>
    <w:lvl w:ilvl="2" w:tplc="041F001B">
      <w:start w:val="1"/>
      <w:numFmt w:val="lowerRoman"/>
      <w:lvlText w:val="%3."/>
      <w:lvlJc w:val="right"/>
      <w:pPr>
        <w:ind w:left="2427" w:hanging="180"/>
      </w:pPr>
    </w:lvl>
    <w:lvl w:ilvl="3" w:tplc="041F000F">
      <w:start w:val="1"/>
      <w:numFmt w:val="decimal"/>
      <w:lvlText w:val="%4."/>
      <w:lvlJc w:val="left"/>
      <w:pPr>
        <w:ind w:left="3147" w:hanging="360"/>
      </w:pPr>
    </w:lvl>
    <w:lvl w:ilvl="4" w:tplc="041F0019">
      <w:start w:val="1"/>
      <w:numFmt w:val="lowerLetter"/>
      <w:lvlText w:val="%5."/>
      <w:lvlJc w:val="left"/>
      <w:pPr>
        <w:ind w:left="3867" w:hanging="360"/>
      </w:pPr>
    </w:lvl>
    <w:lvl w:ilvl="5" w:tplc="041F001B">
      <w:start w:val="1"/>
      <w:numFmt w:val="lowerRoman"/>
      <w:lvlText w:val="%6."/>
      <w:lvlJc w:val="right"/>
      <w:pPr>
        <w:ind w:left="4587" w:hanging="180"/>
      </w:pPr>
    </w:lvl>
    <w:lvl w:ilvl="6" w:tplc="041F000F">
      <w:start w:val="1"/>
      <w:numFmt w:val="decimal"/>
      <w:lvlText w:val="%7."/>
      <w:lvlJc w:val="left"/>
      <w:pPr>
        <w:ind w:left="5307" w:hanging="360"/>
      </w:pPr>
    </w:lvl>
    <w:lvl w:ilvl="7" w:tplc="041F0019">
      <w:start w:val="1"/>
      <w:numFmt w:val="lowerLetter"/>
      <w:lvlText w:val="%8."/>
      <w:lvlJc w:val="left"/>
      <w:pPr>
        <w:ind w:left="6027" w:hanging="360"/>
      </w:pPr>
    </w:lvl>
    <w:lvl w:ilvl="8" w:tplc="041F001B">
      <w:start w:val="1"/>
      <w:numFmt w:val="lowerRoman"/>
      <w:lvlText w:val="%9."/>
      <w:lvlJc w:val="right"/>
      <w:pPr>
        <w:ind w:left="6747" w:hanging="180"/>
      </w:pPr>
    </w:lvl>
  </w:abstractNum>
  <w:abstractNum w:abstractNumId="7" w15:restartNumberingAfterBreak="0">
    <w:nsid w:val="11227A5E"/>
    <w:multiLevelType w:val="hybridMultilevel"/>
    <w:tmpl w:val="D08AC022"/>
    <w:lvl w:ilvl="0" w:tplc="37BEFDD0">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3070CE"/>
    <w:multiLevelType w:val="hybridMultilevel"/>
    <w:tmpl w:val="646037F2"/>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D5F5D6F"/>
    <w:multiLevelType w:val="hybridMultilevel"/>
    <w:tmpl w:val="5CBE6A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7700AB6"/>
    <w:multiLevelType w:val="hybridMultilevel"/>
    <w:tmpl w:val="C526B804"/>
    <w:lvl w:ilvl="0" w:tplc="779C11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B94A44"/>
    <w:multiLevelType w:val="hybridMultilevel"/>
    <w:tmpl w:val="99AE20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C873820"/>
    <w:multiLevelType w:val="hybridMultilevel"/>
    <w:tmpl w:val="B5AAD1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6321FF"/>
    <w:multiLevelType w:val="hybridMultilevel"/>
    <w:tmpl w:val="0096C5EC"/>
    <w:lvl w:ilvl="0" w:tplc="9E8034C0">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47C522EA"/>
    <w:multiLevelType w:val="hybridMultilevel"/>
    <w:tmpl w:val="45100488"/>
    <w:lvl w:ilvl="0" w:tplc="041F0001">
      <w:start w:val="1"/>
      <w:numFmt w:val="bullet"/>
      <w:lvlText w:val=""/>
      <w:lvlJc w:val="left"/>
      <w:pPr>
        <w:ind w:left="1140" w:hanging="360"/>
      </w:pPr>
      <w:rPr>
        <w:rFonts w:ascii="Symbol" w:hAnsi="Symbol" w:hint="default"/>
      </w:rPr>
    </w:lvl>
    <w:lvl w:ilvl="1" w:tplc="041F0003">
      <w:start w:val="1"/>
      <w:numFmt w:val="bullet"/>
      <w:lvlText w:val="o"/>
      <w:lvlJc w:val="left"/>
      <w:pPr>
        <w:ind w:left="1860" w:hanging="360"/>
      </w:pPr>
      <w:rPr>
        <w:rFonts w:ascii="Courier New" w:hAnsi="Courier New" w:cs="Courier New" w:hint="default"/>
      </w:rPr>
    </w:lvl>
    <w:lvl w:ilvl="2" w:tplc="041F0005">
      <w:start w:val="1"/>
      <w:numFmt w:val="bullet"/>
      <w:lvlText w:val=""/>
      <w:lvlJc w:val="left"/>
      <w:pPr>
        <w:ind w:left="2580" w:hanging="360"/>
      </w:pPr>
      <w:rPr>
        <w:rFonts w:ascii="Wingdings" w:hAnsi="Wingdings" w:hint="default"/>
      </w:rPr>
    </w:lvl>
    <w:lvl w:ilvl="3" w:tplc="041F0001">
      <w:start w:val="1"/>
      <w:numFmt w:val="bullet"/>
      <w:lvlText w:val=""/>
      <w:lvlJc w:val="left"/>
      <w:pPr>
        <w:ind w:left="3300" w:hanging="360"/>
      </w:pPr>
      <w:rPr>
        <w:rFonts w:ascii="Symbol" w:hAnsi="Symbol" w:hint="default"/>
      </w:rPr>
    </w:lvl>
    <w:lvl w:ilvl="4" w:tplc="041F0003">
      <w:start w:val="1"/>
      <w:numFmt w:val="bullet"/>
      <w:lvlText w:val="o"/>
      <w:lvlJc w:val="left"/>
      <w:pPr>
        <w:ind w:left="4020" w:hanging="360"/>
      </w:pPr>
      <w:rPr>
        <w:rFonts w:ascii="Courier New" w:hAnsi="Courier New" w:cs="Courier New" w:hint="default"/>
      </w:rPr>
    </w:lvl>
    <w:lvl w:ilvl="5" w:tplc="041F0005">
      <w:start w:val="1"/>
      <w:numFmt w:val="bullet"/>
      <w:lvlText w:val=""/>
      <w:lvlJc w:val="left"/>
      <w:pPr>
        <w:ind w:left="4740" w:hanging="360"/>
      </w:pPr>
      <w:rPr>
        <w:rFonts w:ascii="Wingdings" w:hAnsi="Wingdings" w:hint="default"/>
      </w:rPr>
    </w:lvl>
    <w:lvl w:ilvl="6" w:tplc="041F0001">
      <w:start w:val="1"/>
      <w:numFmt w:val="bullet"/>
      <w:lvlText w:val=""/>
      <w:lvlJc w:val="left"/>
      <w:pPr>
        <w:ind w:left="5460" w:hanging="360"/>
      </w:pPr>
      <w:rPr>
        <w:rFonts w:ascii="Symbol" w:hAnsi="Symbol" w:hint="default"/>
      </w:rPr>
    </w:lvl>
    <w:lvl w:ilvl="7" w:tplc="041F0003">
      <w:start w:val="1"/>
      <w:numFmt w:val="bullet"/>
      <w:lvlText w:val="o"/>
      <w:lvlJc w:val="left"/>
      <w:pPr>
        <w:ind w:left="6180" w:hanging="360"/>
      </w:pPr>
      <w:rPr>
        <w:rFonts w:ascii="Courier New" w:hAnsi="Courier New" w:cs="Courier New" w:hint="default"/>
      </w:rPr>
    </w:lvl>
    <w:lvl w:ilvl="8" w:tplc="041F0005">
      <w:start w:val="1"/>
      <w:numFmt w:val="bullet"/>
      <w:lvlText w:val=""/>
      <w:lvlJc w:val="left"/>
      <w:pPr>
        <w:ind w:left="6900" w:hanging="360"/>
      </w:pPr>
      <w:rPr>
        <w:rFonts w:ascii="Wingdings" w:hAnsi="Wingdings" w:hint="default"/>
      </w:rPr>
    </w:lvl>
  </w:abstractNum>
  <w:abstractNum w:abstractNumId="15" w15:restartNumberingAfterBreak="0">
    <w:nsid w:val="4C9B144F"/>
    <w:multiLevelType w:val="hybridMultilevel"/>
    <w:tmpl w:val="902A34DC"/>
    <w:lvl w:ilvl="0" w:tplc="0EDC8504">
      <w:start w:val="1"/>
      <w:numFmt w:val="lowerLetter"/>
      <w:lvlText w:val="%1-"/>
      <w:lvlJc w:val="left"/>
      <w:pPr>
        <w:ind w:left="420" w:hanging="360"/>
      </w:pPr>
      <w:rPr>
        <w:b/>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16" w15:restartNumberingAfterBreak="0">
    <w:nsid w:val="4FA36B64"/>
    <w:multiLevelType w:val="hybridMultilevel"/>
    <w:tmpl w:val="6FD8253C"/>
    <w:lvl w:ilvl="0" w:tplc="0492D79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56D450C8"/>
    <w:multiLevelType w:val="hybridMultilevel"/>
    <w:tmpl w:val="9792610A"/>
    <w:lvl w:ilvl="0" w:tplc="6F70B97E">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E40142C"/>
    <w:multiLevelType w:val="hybridMultilevel"/>
    <w:tmpl w:val="553E9C2E"/>
    <w:lvl w:ilvl="0" w:tplc="15A48D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ED2DC2"/>
    <w:multiLevelType w:val="hybridMultilevel"/>
    <w:tmpl w:val="D2CEADA6"/>
    <w:lvl w:ilvl="0" w:tplc="5544A174">
      <w:start w:val="1"/>
      <w:numFmt w:val="lowerLetter"/>
      <w:lvlText w:val="%1)"/>
      <w:lvlJc w:val="left"/>
      <w:pPr>
        <w:ind w:left="786" w:hanging="360"/>
      </w:pPr>
      <w:rPr>
        <w:rFonts w:ascii="Times New Roman" w:eastAsia="Times New Roman" w:hAnsi="Times New Roman" w:cs="Times New Roman"/>
        <w:b/>
      </w:rPr>
    </w:lvl>
    <w:lvl w:ilvl="1" w:tplc="041F0003">
      <w:start w:val="1"/>
      <w:numFmt w:val="bullet"/>
      <w:lvlText w:val="o"/>
      <w:lvlJc w:val="left"/>
      <w:pPr>
        <w:ind w:left="1806" w:hanging="360"/>
      </w:pPr>
      <w:rPr>
        <w:rFonts w:ascii="Courier New" w:hAnsi="Courier New" w:cs="Courier New" w:hint="default"/>
      </w:rPr>
    </w:lvl>
    <w:lvl w:ilvl="2" w:tplc="041F0005">
      <w:start w:val="1"/>
      <w:numFmt w:val="bullet"/>
      <w:lvlText w:val=""/>
      <w:lvlJc w:val="left"/>
      <w:pPr>
        <w:ind w:left="2526" w:hanging="360"/>
      </w:pPr>
      <w:rPr>
        <w:rFonts w:ascii="Wingdings" w:hAnsi="Wingdings" w:hint="default"/>
      </w:rPr>
    </w:lvl>
    <w:lvl w:ilvl="3" w:tplc="041F0001">
      <w:start w:val="1"/>
      <w:numFmt w:val="bullet"/>
      <w:lvlText w:val=""/>
      <w:lvlJc w:val="left"/>
      <w:pPr>
        <w:ind w:left="3246" w:hanging="360"/>
      </w:pPr>
      <w:rPr>
        <w:rFonts w:ascii="Symbol" w:hAnsi="Symbol" w:hint="default"/>
      </w:rPr>
    </w:lvl>
    <w:lvl w:ilvl="4" w:tplc="041F0003">
      <w:start w:val="1"/>
      <w:numFmt w:val="bullet"/>
      <w:lvlText w:val="o"/>
      <w:lvlJc w:val="left"/>
      <w:pPr>
        <w:ind w:left="3966" w:hanging="360"/>
      </w:pPr>
      <w:rPr>
        <w:rFonts w:ascii="Courier New" w:hAnsi="Courier New" w:cs="Courier New" w:hint="default"/>
      </w:rPr>
    </w:lvl>
    <w:lvl w:ilvl="5" w:tplc="041F0005">
      <w:start w:val="1"/>
      <w:numFmt w:val="bullet"/>
      <w:lvlText w:val=""/>
      <w:lvlJc w:val="left"/>
      <w:pPr>
        <w:ind w:left="4686" w:hanging="360"/>
      </w:pPr>
      <w:rPr>
        <w:rFonts w:ascii="Wingdings" w:hAnsi="Wingdings" w:hint="default"/>
      </w:rPr>
    </w:lvl>
    <w:lvl w:ilvl="6" w:tplc="041F0001">
      <w:start w:val="1"/>
      <w:numFmt w:val="bullet"/>
      <w:lvlText w:val=""/>
      <w:lvlJc w:val="left"/>
      <w:pPr>
        <w:ind w:left="5406" w:hanging="360"/>
      </w:pPr>
      <w:rPr>
        <w:rFonts w:ascii="Symbol" w:hAnsi="Symbol" w:hint="default"/>
      </w:rPr>
    </w:lvl>
    <w:lvl w:ilvl="7" w:tplc="041F0003">
      <w:start w:val="1"/>
      <w:numFmt w:val="bullet"/>
      <w:lvlText w:val="o"/>
      <w:lvlJc w:val="left"/>
      <w:pPr>
        <w:ind w:left="6126" w:hanging="360"/>
      </w:pPr>
      <w:rPr>
        <w:rFonts w:ascii="Courier New" w:hAnsi="Courier New" w:cs="Courier New" w:hint="default"/>
      </w:rPr>
    </w:lvl>
    <w:lvl w:ilvl="8" w:tplc="041F0005">
      <w:start w:val="1"/>
      <w:numFmt w:val="bullet"/>
      <w:lvlText w:val=""/>
      <w:lvlJc w:val="left"/>
      <w:pPr>
        <w:ind w:left="6846" w:hanging="360"/>
      </w:pPr>
      <w:rPr>
        <w:rFonts w:ascii="Wingdings" w:hAnsi="Wingdings" w:hint="default"/>
      </w:rPr>
    </w:lvl>
  </w:abstractNum>
  <w:abstractNum w:abstractNumId="20" w15:restartNumberingAfterBreak="0">
    <w:nsid w:val="68165557"/>
    <w:multiLevelType w:val="hybridMultilevel"/>
    <w:tmpl w:val="8626C4F0"/>
    <w:lvl w:ilvl="0" w:tplc="C3A41666">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A96423B"/>
    <w:multiLevelType w:val="hybridMultilevel"/>
    <w:tmpl w:val="85E8BFCE"/>
    <w:lvl w:ilvl="0" w:tplc="4704BC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E91D9F"/>
    <w:multiLevelType w:val="hybridMultilevel"/>
    <w:tmpl w:val="61020662"/>
    <w:lvl w:ilvl="0" w:tplc="F34C66A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E93B16"/>
    <w:multiLevelType w:val="hybridMultilevel"/>
    <w:tmpl w:val="98743FA6"/>
    <w:lvl w:ilvl="0" w:tplc="83920106">
      <w:start w:val="1"/>
      <w:numFmt w:val="lowerLetter"/>
      <w:lvlText w:val="%1)"/>
      <w:lvlJc w:val="left"/>
      <w:pPr>
        <w:ind w:left="1140" w:hanging="360"/>
      </w:pPr>
      <w:rPr>
        <w:b/>
      </w:rPr>
    </w:lvl>
    <w:lvl w:ilvl="1" w:tplc="041F0019">
      <w:start w:val="1"/>
      <w:numFmt w:val="lowerLetter"/>
      <w:lvlText w:val="%2."/>
      <w:lvlJc w:val="left"/>
      <w:pPr>
        <w:ind w:left="1860" w:hanging="360"/>
      </w:pPr>
    </w:lvl>
    <w:lvl w:ilvl="2" w:tplc="041F001B">
      <w:start w:val="1"/>
      <w:numFmt w:val="lowerRoman"/>
      <w:lvlText w:val="%3."/>
      <w:lvlJc w:val="right"/>
      <w:pPr>
        <w:ind w:left="2580" w:hanging="180"/>
      </w:pPr>
    </w:lvl>
    <w:lvl w:ilvl="3" w:tplc="041F000F">
      <w:start w:val="1"/>
      <w:numFmt w:val="decimal"/>
      <w:lvlText w:val="%4."/>
      <w:lvlJc w:val="left"/>
      <w:pPr>
        <w:ind w:left="3300" w:hanging="360"/>
      </w:pPr>
    </w:lvl>
    <w:lvl w:ilvl="4" w:tplc="041F0019">
      <w:start w:val="1"/>
      <w:numFmt w:val="lowerLetter"/>
      <w:lvlText w:val="%5."/>
      <w:lvlJc w:val="left"/>
      <w:pPr>
        <w:ind w:left="4020" w:hanging="360"/>
      </w:pPr>
    </w:lvl>
    <w:lvl w:ilvl="5" w:tplc="041F001B">
      <w:start w:val="1"/>
      <w:numFmt w:val="lowerRoman"/>
      <w:lvlText w:val="%6."/>
      <w:lvlJc w:val="right"/>
      <w:pPr>
        <w:ind w:left="4740" w:hanging="180"/>
      </w:pPr>
    </w:lvl>
    <w:lvl w:ilvl="6" w:tplc="041F000F">
      <w:start w:val="1"/>
      <w:numFmt w:val="decimal"/>
      <w:lvlText w:val="%7."/>
      <w:lvlJc w:val="left"/>
      <w:pPr>
        <w:ind w:left="5460" w:hanging="360"/>
      </w:pPr>
    </w:lvl>
    <w:lvl w:ilvl="7" w:tplc="041F0019">
      <w:start w:val="1"/>
      <w:numFmt w:val="lowerLetter"/>
      <w:lvlText w:val="%8."/>
      <w:lvlJc w:val="left"/>
      <w:pPr>
        <w:ind w:left="6180" w:hanging="360"/>
      </w:pPr>
    </w:lvl>
    <w:lvl w:ilvl="8" w:tplc="041F001B">
      <w:start w:val="1"/>
      <w:numFmt w:val="lowerRoman"/>
      <w:lvlText w:val="%9."/>
      <w:lvlJc w:val="right"/>
      <w:pPr>
        <w:ind w:left="6900" w:hanging="180"/>
      </w:pPr>
    </w:lvl>
  </w:abstractNum>
  <w:abstractNum w:abstractNumId="24" w15:restartNumberingAfterBreak="0">
    <w:nsid w:val="7F4B21F9"/>
    <w:multiLevelType w:val="hybridMultilevel"/>
    <w:tmpl w:val="3F56519E"/>
    <w:lvl w:ilvl="0" w:tplc="041F0011">
      <w:start w:val="1"/>
      <w:numFmt w:val="decimal"/>
      <w:lvlText w:val="%1)"/>
      <w:lvlJc w:val="left"/>
      <w:pPr>
        <w:ind w:left="720" w:hanging="360"/>
      </w:pPr>
      <w:rPr>
        <w:i w:val="0"/>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0"/>
  </w:num>
  <w:num w:numId="3">
    <w:abstractNumId w:val="18"/>
  </w:num>
  <w:num w:numId="4">
    <w:abstractNumId w:val="21"/>
  </w:num>
  <w:num w:numId="5">
    <w:abstractNumId w:val="12"/>
  </w:num>
  <w:num w:numId="6">
    <w:abstractNumId w:val="7"/>
  </w:num>
  <w:num w:numId="7">
    <w:abstractNumId w:val="1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22"/>
    <w:rsid w:val="000039F7"/>
    <w:rsid w:val="0006528C"/>
    <w:rsid w:val="000D1150"/>
    <w:rsid w:val="001453A3"/>
    <w:rsid w:val="00170F07"/>
    <w:rsid w:val="0017375F"/>
    <w:rsid w:val="00267E4D"/>
    <w:rsid w:val="002E25E3"/>
    <w:rsid w:val="002F79E2"/>
    <w:rsid w:val="003670DF"/>
    <w:rsid w:val="0046532E"/>
    <w:rsid w:val="00510BD7"/>
    <w:rsid w:val="005D6075"/>
    <w:rsid w:val="00694246"/>
    <w:rsid w:val="006D5C72"/>
    <w:rsid w:val="00754FCB"/>
    <w:rsid w:val="00775104"/>
    <w:rsid w:val="008B350F"/>
    <w:rsid w:val="008B708B"/>
    <w:rsid w:val="008E1565"/>
    <w:rsid w:val="0091022A"/>
    <w:rsid w:val="009310FF"/>
    <w:rsid w:val="009654CA"/>
    <w:rsid w:val="00985BAC"/>
    <w:rsid w:val="009900ED"/>
    <w:rsid w:val="009F3947"/>
    <w:rsid w:val="00A47E30"/>
    <w:rsid w:val="00A6642A"/>
    <w:rsid w:val="00A84ED2"/>
    <w:rsid w:val="00AD68B8"/>
    <w:rsid w:val="00BB7A7E"/>
    <w:rsid w:val="00BE0955"/>
    <w:rsid w:val="00C21FEA"/>
    <w:rsid w:val="00C85A10"/>
    <w:rsid w:val="00CD7BB7"/>
    <w:rsid w:val="00D06122"/>
    <w:rsid w:val="00D61866"/>
    <w:rsid w:val="00D663B2"/>
    <w:rsid w:val="00D93BF2"/>
    <w:rsid w:val="00DD0E99"/>
    <w:rsid w:val="00E335A9"/>
    <w:rsid w:val="00EA1250"/>
    <w:rsid w:val="00EF7726"/>
    <w:rsid w:val="00F06718"/>
    <w:rsid w:val="00F33CF0"/>
    <w:rsid w:val="00F4099A"/>
    <w:rsid w:val="00F70566"/>
    <w:rsid w:val="00F74A08"/>
    <w:rsid w:val="00FB6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0A6D"/>
  <w15:docId w15:val="{C64853D7-5E4B-483C-B2B4-FFBC193A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310F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93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3770</Words>
  <Characters>21491</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Hüseyin GÜRDAL</cp:lastModifiedBy>
  <cp:revision>4</cp:revision>
  <dcterms:created xsi:type="dcterms:W3CDTF">2022-02-24T11:43:00Z</dcterms:created>
  <dcterms:modified xsi:type="dcterms:W3CDTF">2022-02-24T11:50:00Z</dcterms:modified>
</cp:coreProperties>
</file>